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CC2994">
      <w:pPr>
        <w:pStyle w:val="7"/>
        <w:keepNext w:val="0"/>
        <w:keepLines w:val="0"/>
        <w:pageBreakBefore w:val="0"/>
        <w:widowControl w:val="0"/>
        <w:kinsoku/>
        <w:wordWrap/>
        <w:overflowPunct/>
        <w:topLinePunct w:val="0"/>
        <w:autoSpaceDE/>
        <w:autoSpaceDN/>
        <w:bidi w:val="0"/>
        <w:adjustRightInd/>
        <w:snapToGrid/>
        <w:spacing w:after="0" w:line="720" w:lineRule="exact"/>
        <w:jc w:val="center"/>
        <w:textAlignment w:val="auto"/>
        <w:rPr>
          <w:rFonts w:hint="default" w:ascii="Times New Roman" w:hAnsi="Times New Roman" w:cs="Times New Roman"/>
          <w:b/>
          <w:bCs/>
          <w:color w:val="auto"/>
          <w:sz w:val="44"/>
          <w:szCs w:val="44"/>
          <w:lang w:eastAsia="zh-CN"/>
        </w:rPr>
      </w:pPr>
    </w:p>
    <w:p w14:paraId="346890A8">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r>
        <w:rPr>
          <w:rFonts w:hint="default" w:ascii="Times New Roman" w:hAnsi="Times New Roman" w:cs="Times New Roman"/>
          <w:b/>
          <w:bCs/>
          <w:color w:val="auto"/>
          <w:sz w:val="44"/>
          <w:szCs w:val="44"/>
          <w:lang w:eastAsia="zh-CN"/>
        </w:rPr>
        <w:t>江西临川鲁金矿业有限公司</w:t>
      </w:r>
    </w:p>
    <w:p w14:paraId="563DA439">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r>
        <w:rPr>
          <w:rFonts w:hint="default" w:ascii="Times New Roman" w:hAnsi="Times New Roman" w:cs="Times New Roman"/>
          <w:b/>
          <w:bCs/>
          <w:color w:val="auto"/>
          <w:sz w:val="44"/>
          <w:szCs w:val="44"/>
          <w:lang w:eastAsia="zh-CN"/>
        </w:rPr>
        <w:t>茅排金矿庄前尾矿库</w:t>
      </w:r>
    </w:p>
    <w:p w14:paraId="0ABD0A10">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r>
        <w:rPr>
          <w:rFonts w:hint="eastAsia" w:ascii="黑体" w:hAnsi="黑体" w:eastAsia="黑体" w:cs="黑体"/>
          <w:b/>
          <w:bCs/>
          <w:color w:val="auto"/>
          <w:sz w:val="52"/>
          <w:szCs w:val="52"/>
          <w:lang w:eastAsia="zh-CN"/>
        </w:rPr>
        <w:t>安全现状评价报告</w:t>
      </w:r>
    </w:p>
    <w:p w14:paraId="32D0D72E">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r>
        <w:rPr>
          <w:rFonts w:hint="eastAsia" w:ascii="Times New Roman" w:hAnsi="Times New Roman" w:cs="Times New Roman"/>
          <w:b/>
          <w:bCs/>
          <w:color w:val="auto"/>
          <w:sz w:val="44"/>
          <w:szCs w:val="44"/>
          <w:lang w:eastAsia="zh-CN"/>
        </w:rPr>
        <w:t>（</w:t>
      </w:r>
      <w:r>
        <w:rPr>
          <w:rFonts w:hint="eastAsia" w:ascii="Times New Roman" w:hAnsi="Times New Roman" w:cs="Times New Roman"/>
          <w:b/>
          <w:bCs/>
          <w:color w:val="auto"/>
          <w:sz w:val="44"/>
          <w:szCs w:val="44"/>
          <w:lang w:val="en-US" w:eastAsia="zh-CN"/>
        </w:rPr>
        <w:t>终稿</w:t>
      </w:r>
      <w:r>
        <w:rPr>
          <w:rFonts w:hint="eastAsia" w:ascii="Times New Roman" w:hAnsi="Times New Roman" w:cs="Times New Roman"/>
          <w:b/>
          <w:bCs/>
          <w:color w:val="auto"/>
          <w:sz w:val="44"/>
          <w:szCs w:val="44"/>
          <w:lang w:eastAsia="zh-CN"/>
        </w:rPr>
        <w:t>）</w:t>
      </w:r>
    </w:p>
    <w:p w14:paraId="00FD222D">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p>
    <w:p w14:paraId="2C0A9D77">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p>
    <w:p w14:paraId="5E3A5D2C">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p>
    <w:p w14:paraId="604DB5D0">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p>
    <w:p w14:paraId="06E10B56">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p>
    <w:p w14:paraId="3830AEF4">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p>
    <w:p w14:paraId="669E899C">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36"/>
          <w:szCs w:val="36"/>
          <w:lang w:eastAsia="zh-CN"/>
        </w:rPr>
      </w:pPr>
    </w:p>
    <w:p w14:paraId="750234FA">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36"/>
          <w:szCs w:val="36"/>
          <w:lang w:eastAsia="zh-CN"/>
        </w:rPr>
      </w:pPr>
    </w:p>
    <w:p w14:paraId="5929A323">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36"/>
          <w:szCs w:val="36"/>
          <w:lang w:eastAsia="zh-CN"/>
        </w:rPr>
      </w:pPr>
    </w:p>
    <w:p w14:paraId="375A518E">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36"/>
          <w:szCs w:val="36"/>
          <w:lang w:eastAsia="zh-CN"/>
        </w:rPr>
      </w:pPr>
    </w:p>
    <w:p w14:paraId="0B91BDB0">
      <w:pPr>
        <w:keepNext w:val="0"/>
        <w:keepLines w:val="0"/>
        <w:pageBreakBefore w:val="0"/>
        <w:widowControl w:val="0"/>
        <w:kinsoku/>
        <w:wordWrap/>
        <w:overflowPunct/>
        <w:topLinePunct w:val="0"/>
        <w:autoSpaceDE/>
        <w:autoSpaceDN/>
        <w:bidi w:val="0"/>
        <w:adjustRightInd/>
        <w:snapToGrid/>
        <w:spacing w:line="720" w:lineRule="exact"/>
        <w:ind w:firstLine="0" w:firstLineChars="0"/>
        <w:jc w:val="center"/>
        <w:textAlignment w:val="auto"/>
        <w:rPr>
          <w:rFonts w:hint="default" w:ascii="Times New Roman" w:hAnsi="Times New Roman" w:cs="Times New Roman"/>
          <w:b/>
          <w:color w:val="auto"/>
          <w:sz w:val="36"/>
          <w:szCs w:val="36"/>
        </w:rPr>
      </w:pPr>
      <w:r>
        <w:rPr>
          <w:rFonts w:hint="default" w:ascii="Times New Roman" w:hAnsi="Times New Roman" w:cs="Times New Roman"/>
          <w:b/>
          <w:color w:val="auto"/>
          <w:sz w:val="36"/>
          <w:szCs w:val="36"/>
        </w:rPr>
        <w:t>江西赣安安全生产科学技术咨询服务中心</w:t>
      </w:r>
    </w:p>
    <w:p w14:paraId="1E30FD9F">
      <w:pPr>
        <w:keepNext w:val="0"/>
        <w:keepLines w:val="0"/>
        <w:pageBreakBefore w:val="0"/>
        <w:widowControl w:val="0"/>
        <w:kinsoku/>
        <w:wordWrap/>
        <w:overflowPunct/>
        <w:topLinePunct w:val="0"/>
        <w:autoSpaceDE/>
        <w:autoSpaceDN/>
        <w:bidi w:val="0"/>
        <w:adjustRightInd/>
        <w:snapToGrid/>
        <w:spacing w:line="720" w:lineRule="exact"/>
        <w:ind w:firstLine="0" w:firstLineChars="0"/>
        <w:jc w:val="center"/>
        <w:textAlignment w:val="auto"/>
        <w:rPr>
          <w:rFonts w:hint="default" w:ascii="Times New Roman" w:hAnsi="Times New Roman" w:cs="Times New Roman"/>
          <w:b/>
          <w:color w:val="auto"/>
          <w:sz w:val="32"/>
          <w:szCs w:val="32"/>
        </w:rPr>
      </w:pPr>
      <w:r>
        <w:rPr>
          <w:rFonts w:hint="default" w:ascii="Times New Roman" w:hAnsi="Times New Roman" w:cs="Times New Roman"/>
          <w:b/>
          <w:color w:val="auto"/>
          <w:sz w:val="32"/>
          <w:szCs w:val="32"/>
        </w:rPr>
        <w:t>资质证书编号：APJ-（赣）-002</w:t>
      </w:r>
    </w:p>
    <w:p w14:paraId="7EDD0E9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color w:val="auto"/>
          <w:sz w:val="44"/>
        </w:rPr>
      </w:pPr>
      <w:r>
        <w:rPr>
          <w:rFonts w:hint="default" w:ascii="Times New Roman" w:hAnsi="Times New Roman" w:cs="Times New Roman"/>
          <w:b/>
          <w:bCs/>
          <w:color w:val="auto"/>
          <w:sz w:val="32"/>
        </w:rPr>
        <w:t>202</w:t>
      </w:r>
      <w:r>
        <w:rPr>
          <w:rFonts w:hint="default" w:ascii="Times New Roman" w:hAnsi="Times New Roman" w:cs="Times New Roman"/>
          <w:b/>
          <w:bCs/>
          <w:color w:val="auto"/>
          <w:sz w:val="32"/>
          <w:lang w:val="en-US" w:eastAsia="zh-CN"/>
        </w:rPr>
        <w:t>4</w:t>
      </w:r>
      <w:r>
        <w:rPr>
          <w:rFonts w:hint="default" w:ascii="Times New Roman" w:hAnsi="Times New Roman" w:cs="Times New Roman"/>
          <w:b/>
          <w:bCs/>
          <w:color w:val="auto"/>
          <w:sz w:val="32"/>
        </w:rPr>
        <w:t>年</w:t>
      </w:r>
      <w:r>
        <w:rPr>
          <w:rFonts w:hint="eastAsia" w:ascii="Times New Roman" w:hAnsi="Times New Roman" w:cs="Times New Roman"/>
          <w:b/>
          <w:bCs/>
          <w:color w:val="auto"/>
          <w:sz w:val="32"/>
          <w:lang w:val="en-US" w:eastAsia="zh-CN"/>
        </w:rPr>
        <w:t>10</w:t>
      </w:r>
      <w:r>
        <w:rPr>
          <w:rFonts w:hint="default" w:ascii="Times New Roman" w:hAnsi="Times New Roman" w:cs="Times New Roman"/>
          <w:b/>
          <w:bCs/>
          <w:color w:val="auto"/>
          <w:sz w:val="32"/>
        </w:rPr>
        <w:t>月</w:t>
      </w:r>
    </w:p>
    <w:p w14:paraId="04A21998">
      <w:pPr>
        <w:rPr>
          <w:rFonts w:hint="default" w:ascii="Times New Roman" w:hAnsi="Times New Roman" w:cs="Times New Roman"/>
          <w:color w:val="auto"/>
        </w:rPr>
        <w:sectPr>
          <w:headerReference r:id="rId5" w:type="default"/>
          <w:footerReference r:id="rId6" w:type="default"/>
          <w:pgSz w:w="11906" w:h="16838"/>
          <w:pgMar w:top="1418" w:right="1418" w:bottom="1418" w:left="1418" w:header="851" w:footer="850" w:gutter="0"/>
          <w:pgBorders>
            <w:top w:val="none" w:sz="0" w:space="0"/>
            <w:left w:val="none" w:sz="0" w:space="0"/>
            <w:bottom w:val="none" w:sz="0" w:space="0"/>
            <w:right w:val="none" w:sz="0" w:space="0"/>
          </w:pgBorders>
          <w:pgNumType w:fmt="upperRoman" w:start="1"/>
          <w:cols w:space="720" w:num="1"/>
          <w:titlePg/>
          <w:docGrid w:linePitch="312" w:charSpace="0"/>
        </w:sectPr>
      </w:pPr>
      <w:r>
        <w:rPr>
          <w:rFonts w:hint="default" w:ascii="Times New Roman" w:hAnsi="Times New Roman" w:cs="Times New Roman"/>
          <w:color w:val="auto"/>
        </w:rPr>
        <w:br w:type="page"/>
      </w:r>
    </w:p>
    <w:p w14:paraId="272234B6">
      <w:pPr>
        <w:rPr>
          <w:rFonts w:hint="default" w:ascii="Times New Roman" w:hAnsi="Times New Roman" w:cs="Times New Roman"/>
          <w:color w:val="auto"/>
        </w:rPr>
      </w:pPr>
    </w:p>
    <w:p w14:paraId="7405AB47">
      <w:pPr>
        <w:rPr>
          <w:rFonts w:hint="default" w:ascii="Times New Roman" w:hAnsi="Times New Roman" w:cs="Times New Roman"/>
          <w:color w:val="auto"/>
        </w:rPr>
      </w:pPr>
    </w:p>
    <w:p w14:paraId="34A20BDA">
      <w:pPr>
        <w:rPr>
          <w:rFonts w:hint="default" w:ascii="Times New Roman" w:hAnsi="Times New Roman" w:cs="Times New Roman"/>
          <w:color w:val="auto"/>
        </w:rPr>
      </w:pPr>
    </w:p>
    <w:p w14:paraId="5716A6F2">
      <w:pPr>
        <w:rPr>
          <w:rFonts w:hint="default" w:ascii="Times New Roman" w:hAnsi="Times New Roman" w:cs="Times New Roman"/>
          <w:color w:val="auto"/>
        </w:rPr>
      </w:pPr>
    </w:p>
    <w:p w14:paraId="562AC9F6">
      <w:pPr>
        <w:keepNext w:val="0"/>
        <w:keepLines w:val="0"/>
        <w:pageBreakBefore w:val="0"/>
        <w:widowControl w:val="0"/>
        <w:kinsoku/>
        <w:wordWrap/>
        <w:overflowPunct/>
        <w:topLinePunct w:val="0"/>
        <w:autoSpaceDE/>
        <w:autoSpaceDN/>
        <w:bidi w:val="0"/>
        <w:adjustRightInd/>
        <w:snapToGrid/>
        <w:spacing w:line="720" w:lineRule="exact"/>
        <w:ind w:firstLine="0" w:firstLineChars="0"/>
        <w:jc w:val="center"/>
        <w:textAlignment w:val="auto"/>
        <w:rPr>
          <w:rFonts w:hint="default" w:ascii="Times New Roman" w:hAnsi="Times New Roman" w:cs="Times New Roman"/>
          <w:b/>
          <w:bCs/>
          <w:color w:val="auto"/>
          <w:sz w:val="36"/>
          <w:szCs w:val="36"/>
          <w:lang w:eastAsia="zh-CN"/>
        </w:rPr>
      </w:pPr>
      <w:r>
        <w:rPr>
          <w:rFonts w:hint="default" w:ascii="Times New Roman" w:hAnsi="Times New Roman" w:cs="Times New Roman"/>
          <w:b/>
          <w:bCs/>
          <w:color w:val="auto"/>
          <w:sz w:val="36"/>
          <w:szCs w:val="36"/>
          <w:lang w:eastAsia="zh-CN"/>
        </w:rPr>
        <w:t>江西临川鲁金矿业有限公司</w:t>
      </w:r>
    </w:p>
    <w:p w14:paraId="7B4F27CD">
      <w:pPr>
        <w:keepNext w:val="0"/>
        <w:keepLines w:val="0"/>
        <w:pageBreakBefore w:val="0"/>
        <w:widowControl w:val="0"/>
        <w:kinsoku/>
        <w:wordWrap/>
        <w:overflowPunct/>
        <w:topLinePunct w:val="0"/>
        <w:autoSpaceDE/>
        <w:autoSpaceDN/>
        <w:bidi w:val="0"/>
        <w:adjustRightInd/>
        <w:snapToGrid/>
        <w:spacing w:line="720" w:lineRule="exact"/>
        <w:ind w:firstLine="0" w:firstLineChars="0"/>
        <w:jc w:val="center"/>
        <w:textAlignment w:val="auto"/>
        <w:rPr>
          <w:rFonts w:hint="default" w:ascii="Times New Roman" w:hAnsi="Times New Roman" w:cs="Times New Roman"/>
          <w:b/>
          <w:bCs/>
          <w:color w:val="auto"/>
          <w:sz w:val="36"/>
          <w:szCs w:val="36"/>
          <w:lang w:eastAsia="zh-CN"/>
        </w:rPr>
      </w:pPr>
      <w:r>
        <w:rPr>
          <w:rFonts w:hint="default" w:ascii="Times New Roman" w:hAnsi="Times New Roman" w:cs="Times New Roman"/>
          <w:b/>
          <w:bCs/>
          <w:color w:val="auto"/>
          <w:sz w:val="36"/>
          <w:szCs w:val="36"/>
          <w:lang w:eastAsia="zh-CN"/>
        </w:rPr>
        <w:t>茅排金矿庄前尾矿库</w:t>
      </w:r>
    </w:p>
    <w:p w14:paraId="479F739A">
      <w:pPr>
        <w:keepNext w:val="0"/>
        <w:keepLines w:val="0"/>
        <w:pageBreakBefore w:val="0"/>
        <w:widowControl w:val="0"/>
        <w:kinsoku/>
        <w:wordWrap/>
        <w:overflowPunct/>
        <w:topLinePunct w:val="0"/>
        <w:autoSpaceDE/>
        <w:autoSpaceDN/>
        <w:bidi w:val="0"/>
        <w:adjustRightInd/>
        <w:snapToGrid/>
        <w:spacing w:line="720" w:lineRule="exact"/>
        <w:ind w:firstLine="0" w:firstLineChars="0"/>
        <w:jc w:val="center"/>
        <w:textAlignment w:val="auto"/>
        <w:rPr>
          <w:rFonts w:hint="eastAsia" w:ascii="黑体" w:hAnsi="黑体" w:eastAsia="黑体" w:cs="黑体"/>
          <w:b/>
          <w:bCs/>
          <w:color w:val="auto"/>
          <w:sz w:val="36"/>
          <w:szCs w:val="36"/>
          <w:lang w:eastAsia="zh-CN"/>
        </w:rPr>
      </w:pPr>
      <w:r>
        <w:rPr>
          <w:rFonts w:hint="eastAsia" w:ascii="黑体" w:hAnsi="黑体" w:eastAsia="黑体" w:cs="黑体"/>
          <w:b/>
          <w:bCs/>
          <w:color w:val="auto"/>
          <w:sz w:val="36"/>
          <w:szCs w:val="36"/>
          <w:lang w:eastAsia="zh-CN"/>
        </w:rPr>
        <w:t>安全现状评价报告</w:t>
      </w:r>
    </w:p>
    <w:p w14:paraId="319C229F">
      <w:pPr>
        <w:keepNext w:val="0"/>
        <w:keepLines w:val="0"/>
        <w:pageBreakBefore w:val="0"/>
        <w:widowControl w:val="0"/>
        <w:kinsoku/>
        <w:wordWrap/>
        <w:overflowPunct/>
        <w:topLinePunct w:val="0"/>
        <w:autoSpaceDE/>
        <w:autoSpaceDN/>
        <w:bidi w:val="0"/>
        <w:spacing w:line="600" w:lineRule="exact"/>
        <w:ind w:firstLine="0" w:firstLineChars="0"/>
        <w:textAlignment w:val="auto"/>
        <w:rPr>
          <w:rFonts w:hint="default" w:ascii="Times New Roman" w:hAnsi="Times New Roman" w:cs="Times New Roman"/>
          <w:color w:val="auto"/>
        </w:rPr>
      </w:pPr>
    </w:p>
    <w:p w14:paraId="2B0CA446">
      <w:pPr>
        <w:keepNext w:val="0"/>
        <w:keepLines w:val="0"/>
        <w:pageBreakBefore w:val="0"/>
        <w:widowControl w:val="0"/>
        <w:kinsoku/>
        <w:wordWrap/>
        <w:overflowPunct/>
        <w:topLinePunct w:val="0"/>
        <w:autoSpaceDE/>
        <w:autoSpaceDN/>
        <w:bidi w:val="0"/>
        <w:spacing w:line="600" w:lineRule="exact"/>
        <w:ind w:firstLine="0" w:firstLineChars="0"/>
        <w:textAlignment w:val="auto"/>
        <w:rPr>
          <w:rFonts w:hint="default" w:ascii="Times New Roman" w:hAnsi="Times New Roman" w:cs="Times New Roman"/>
          <w:color w:val="auto"/>
        </w:rPr>
      </w:pPr>
    </w:p>
    <w:p w14:paraId="1AC2C591">
      <w:pPr>
        <w:keepNext w:val="0"/>
        <w:keepLines w:val="0"/>
        <w:pageBreakBefore w:val="0"/>
        <w:widowControl w:val="0"/>
        <w:tabs>
          <w:tab w:val="left" w:pos="2670"/>
        </w:tabs>
        <w:kinsoku/>
        <w:wordWrap/>
        <w:overflowPunct/>
        <w:topLinePunct w:val="0"/>
        <w:autoSpaceDE/>
        <w:autoSpaceDN/>
        <w:bidi w:val="0"/>
        <w:spacing w:line="600" w:lineRule="exact"/>
        <w:ind w:firstLine="0" w:firstLineChars="0"/>
        <w:jc w:val="center"/>
        <w:textAlignment w:val="auto"/>
        <w:rPr>
          <w:rFonts w:hint="default" w:ascii="Times New Roman" w:hAnsi="Times New Roman" w:cs="Times New Roman"/>
          <w:color w:val="auto"/>
          <w:sz w:val="28"/>
          <w:szCs w:val="28"/>
        </w:rPr>
      </w:pPr>
    </w:p>
    <w:p w14:paraId="09D65BEB">
      <w:pPr>
        <w:keepNext w:val="0"/>
        <w:keepLines w:val="0"/>
        <w:pageBreakBefore w:val="0"/>
        <w:widowControl w:val="0"/>
        <w:tabs>
          <w:tab w:val="left" w:pos="2670"/>
        </w:tabs>
        <w:kinsoku/>
        <w:wordWrap/>
        <w:overflowPunct/>
        <w:topLinePunct w:val="0"/>
        <w:autoSpaceDE/>
        <w:autoSpaceDN/>
        <w:bidi w:val="0"/>
        <w:spacing w:line="600" w:lineRule="exact"/>
        <w:ind w:firstLine="0" w:firstLineChars="0"/>
        <w:jc w:val="center"/>
        <w:textAlignment w:val="auto"/>
        <w:rPr>
          <w:rFonts w:hint="default" w:ascii="Times New Roman" w:hAnsi="Times New Roman" w:cs="Times New Roman"/>
          <w:color w:val="auto"/>
          <w:sz w:val="28"/>
          <w:szCs w:val="28"/>
        </w:rPr>
      </w:pPr>
    </w:p>
    <w:p w14:paraId="107AB83A">
      <w:pPr>
        <w:keepNext w:val="0"/>
        <w:keepLines w:val="0"/>
        <w:pageBreakBefore w:val="0"/>
        <w:widowControl w:val="0"/>
        <w:tabs>
          <w:tab w:val="left" w:pos="2670"/>
        </w:tabs>
        <w:kinsoku/>
        <w:wordWrap/>
        <w:overflowPunct/>
        <w:topLinePunct w:val="0"/>
        <w:autoSpaceDE/>
        <w:autoSpaceDN/>
        <w:bidi w:val="0"/>
        <w:spacing w:line="600" w:lineRule="exact"/>
        <w:ind w:firstLine="0" w:firstLineChars="0"/>
        <w:jc w:val="center"/>
        <w:textAlignment w:val="auto"/>
        <w:rPr>
          <w:rFonts w:hint="default" w:ascii="Times New Roman" w:hAnsi="Times New Roman" w:cs="Times New Roman"/>
          <w:color w:val="auto"/>
          <w:sz w:val="28"/>
          <w:szCs w:val="28"/>
        </w:rPr>
      </w:pPr>
    </w:p>
    <w:p w14:paraId="5FD5273C">
      <w:pPr>
        <w:keepNext w:val="0"/>
        <w:keepLines w:val="0"/>
        <w:pageBreakBefore w:val="0"/>
        <w:widowControl w:val="0"/>
        <w:tabs>
          <w:tab w:val="left" w:pos="2670"/>
        </w:tabs>
        <w:kinsoku/>
        <w:wordWrap/>
        <w:overflowPunct/>
        <w:topLinePunct w:val="0"/>
        <w:autoSpaceDE/>
        <w:autoSpaceDN/>
        <w:bidi w:val="0"/>
        <w:spacing w:line="600" w:lineRule="exact"/>
        <w:ind w:firstLine="0" w:firstLineChars="0"/>
        <w:jc w:val="center"/>
        <w:textAlignment w:val="auto"/>
        <w:rPr>
          <w:rFonts w:hint="default" w:ascii="Times New Roman" w:hAnsi="Times New Roman" w:cs="Times New Roman"/>
          <w:color w:val="auto"/>
          <w:sz w:val="28"/>
          <w:szCs w:val="28"/>
        </w:rPr>
      </w:pPr>
    </w:p>
    <w:p w14:paraId="10898221">
      <w:pPr>
        <w:keepNext w:val="0"/>
        <w:keepLines w:val="0"/>
        <w:pageBreakBefore w:val="0"/>
        <w:widowControl w:val="0"/>
        <w:tabs>
          <w:tab w:val="left" w:pos="2670"/>
        </w:tabs>
        <w:kinsoku/>
        <w:wordWrap/>
        <w:overflowPunct/>
        <w:topLinePunct w:val="0"/>
        <w:autoSpaceDE/>
        <w:autoSpaceDN/>
        <w:bidi w:val="0"/>
        <w:spacing w:line="600" w:lineRule="exact"/>
        <w:ind w:firstLine="0" w:firstLineChars="0"/>
        <w:jc w:val="center"/>
        <w:textAlignment w:val="auto"/>
        <w:rPr>
          <w:rFonts w:hint="default" w:ascii="Times New Roman" w:hAnsi="Times New Roman" w:cs="Times New Roman"/>
          <w:color w:val="auto"/>
          <w:sz w:val="28"/>
          <w:szCs w:val="28"/>
        </w:rPr>
      </w:pPr>
    </w:p>
    <w:p w14:paraId="4C49187D">
      <w:pPr>
        <w:keepNext w:val="0"/>
        <w:keepLines w:val="0"/>
        <w:pageBreakBefore w:val="0"/>
        <w:widowControl w:val="0"/>
        <w:tabs>
          <w:tab w:val="left" w:pos="2670"/>
        </w:tabs>
        <w:kinsoku/>
        <w:wordWrap/>
        <w:overflowPunct/>
        <w:topLinePunct w:val="0"/>
        <w:autoSpaceDE/>
        <w:autoSpaceDN/>
        <w:bidi w:val="0"/>
        <w:spacing w:line="600" w:lineRule="exact"/>
        <w:ind w:firstLine="0" w:firstLineChars="0"/>
        <w:jc w:val="center"/>
        <w:textAlignment w:val="auto"/>
        <w:rPr>
          <w:rFonts w:hint="default" w:ascii="Times New Roman" w:hAnsi="Times New Roman" w:eastAsia="宋体" w:cs="Times New Roman"/>
          <w:color w:val="auto"/>
          <w:sz w:val="28"/>
          <w:szCs w:val="28"/>
          <w:lang w:eastAsia="zh-CN"/>
        </w:rPr>
      </w:pPr>
      <w:r>
        <w:rPr>
          <w:rFonts w:hint="default" w:ascii="Times New Roman" w:hAnsi="Times New Roman" w:cs="Times New Roman"/>
          <w:color w:val="auto"/>
          <w:sz w:val="28"/>
          <w:szCs w:val="28"/>
        </w:rPr>
        <w:t>法定代表人：</w:t>
      </w:r>
      <w:r>
        <w:rPr>
          <w:rFonts w:hint="default" w:ascii="Times New Roman" w:hAnsi="Times New Roman" w:cs="Times New Roman"/>
          <w:color w:val="auto"/>
          <w:sz w:val="28"/>
          <w:szCs w:val="28"/>
          <w:lang w:val="en-US" w:eastAsia="zh-CN"/>
        </w:rPr>
        <w:t>应  宏</w:t>
      </w:r>
    </w:p>
    <w:p w14:paraId="308C7C35">
      <w:pPr>
        <w:keepNext w:val="0"/>
        <w:keepLines w:val="0"/>
        <w:pageBreakBefore w:val="0"/>
        <w:widowControl w:val="0"/>
        <w:tabs>
          <w:tab w:val="left" w:pos="2670"/>
        </w:tabs>
        <w:kinsoku/>
        <w:wordWrap/>
        <w:overflowPunct/>
        <w:topLinePunct w:val="0"/>
        <w:autoSpaceDE/>
        <w:autoSpaceDN/>
        <w:bidi w:val="0"/>
        <w:spacing w:line="600" w:lineRule="exact"/>
        <w:ind w:firstLine="0" w:firstLineChars="0"/>
        <w:jc w:val="center"/>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cs="Times New Roman"/>
          <w:color w:val="auto"/>
          <w:sz w:val="28"/>
          <w:szCs w:val="28"/>
        </w:rPr>
        <w:t>技术负责人：</w:t>
      </w:r>
      <w:r>
        <w:rPr>
          <w:rFonts w:hint="default" w:ascii="Times New Roman" w:hAnsi="Times New Roman" w:cs="Times New Roman"/>
          <w:color w:val="auto"/>
          <w:sz w:val="28"/>
          <w:szCs w:val="28"/>
          <w:lang w:val="en-US" w:eastAsia="zh-CN"/>
        </w:rPr>
        <w:t>管自强</w:t>
      </w:r>
    </w:p>
    <w:p w14:paraId="6445D602">
      <w:pPr>
        <w:keepNext w:val="0"/>
        <w:keepLines w:val="0"/>
        <w:pageBreakBefore w:val="0"/>
        <w:widowControl w:val="0"/>
        <w:tabs>
          <w:tab w:val="left" w:pos="2670"/>
        </w:tabs>
        <w:kinsoku/>
        <w:wordWrap/>
        <w:overflowPunct/>
        <w:topLinePunct w:val="0"/>
        <w:autoSpaceDE/>
        <w:autoSpaceDN/>
        <w:bidi w:val="0"/>
        <w:spacing w:line="600" w:lineRule="exact"/>
        <w:ind w:firstLine="0" w:firstLineChars="0"/>
        <w:jc w:val="center"/>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cs="Times New Roman"/>
          <w:color w:val="auto"/>
          <w:sz w:val="28"/>
          <w:szCs w:val="28"/>
        </w:rPr>
        <w:t>项目负责人：</w:t>
      </w:r>
      <w:r>
        <w:rPr>
          <w:rFonts w:hint="default" w:ascii="Times New Roman" w:hAnsi="Times New Roman" w:cs="Times New Roman"/>
          <w:color w:val="auto"/>
          <w:sz w:val="28"/>
          <w:szCs w:val="28"/>
          <w:lang w:val="en-US" w:eastAsia="zh-CN"/>
        </w:rPr>
        <w:t>许玉才</w:t>
      </w:r>
    </w:p>
    <w:p w14:paraId="72A2754A">
      <w:pPr>
        <w:keepNext w:val="0"/>
        <w:keepLines w:val="0"/>
        <w:pageBreakBefore w:val="0"/>
        <w:widowControl w:val="0"/>
        <w:kinsoku/>
        <w:wordWrap/>
        <w:overflowPunct/>
        <w:topLinePunct w:val="0"/>
        <w:autoSpaceDE/>
        <w:autoSpaceDN/>
        <w:bidi w:val="0"/>
        <w:spacing w:line="600" w:lineRule="exact"/>
        <w:ind w:firstLine="0" w:firstLineChars="0"/>
        <w:jc w:val="center"/>
        <w:textAlignment w:val="auto"/>
        <w:rPr>
          <w:rFonts w:hint="default" w:ascii="Times New Roman" w:hAnsi="Times New Roman" w:cs="Times New Roman"/>
          <w:b/>
          <w:bCs/>
          <w:color w:val="auto"/>
          <w:sz w:val="24"/>
        </w:rPr>
      </w:pPr>
    </w:p>
    <w:p w14:paraId="14736DA2">
      <w:pPr>
        <w:keepNext w:val="0"/>
        <w:keepLines w:val="0"/>
        <w:pageBreakBefore w:val="0"/>
        <w:widowControl w:val="0"/>
        <w:kinsoku/>
        <w:wordWrap/>
        <w:overflowPunct/>
        <w:topLinePunct w:val="0"/>
        <w:autoSpaceDE/>
        <w:autoSpaceDN/>
        <w:bidi w:val="0"/>
        <w:spacing w:line="600" w:lineRule="exact"/>
        <w:ind w:left="0" w:leftChars="0" w:firstLine="0" w:firstLineChars="0"/>
        <w:jc w:val="both"/>
        <w:textAlignment w:val="auto"/>
        <w:rPr>
          <w:rFonts w:hint="default" w:ascii="Times New Roman" w:hAnsi="Times New Roman" w:cs="Times New Roman"/>
          <w:b/>
          <w:bCs/>
          <w:color w:val="auto"/>
          <w:sz w:val="24"/>
        </w:rPr>
      </w:pPr>
    </w:p>
    <w:p w14:paraId="63B1828A">
      <w:pPr>
        <w:keepNext w:val="0"/>
        <w:keepLines w:val="0"/>
        <w:pageBreakBefore w:val="0"/>
        <w:widowControl w:val="0"/>
        <w:kinsoku/>
        <w:wordWrap/>
        <w:overflowPunct/>
        <w:topLinePunct w:val="0"/>
        <w:autoSpaceDE/>
        <w:autoSpaceDN/>
        <w:bidi w:val="0"/>
        <w:spacing w:line="600" w:lineRule="exact"/>
        <w:ind w:firstLine="0" w:firstLineChars="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评价报告完成时间：202</w:t>
      </w:r>
      <w:r>
        <w:rPr>
          <w:rFonts w:hint="default" w:ascii="Times New Roman" w:hAnsi="Times New Roman" w:cs="Times New Roman"/>
          <w:b/>
          <w:bCs/>
          <w:color w:val="auto"/>
          <w:sz w:val="24"/>
          <w:lang w:val="en-US" w:eastAsia="zh-CN"/>
        </w:rPr>
        <w:t>4</w:t>
      </w:r>
      <w:r>
        <w:rPr>
          <w:rFonts w:hint="default" w:ascii="Times New Roman" w:hAnsi="Times New Roman" w:cs="Times New Roman"/>
          <w:b/>
          <w:bCs/>
          <w:color w:val="auto"/>
          <w:sz w:val="24"/>
        </w:rPr>
        <w:t>年</w:t>
      </w:r>
      <w:r>
        <w:rPr>
          <w:rFonts w:hint="eastAsia" w:ascii="Times New Roman" w:hAnsi="Times New Roman" w:cs="Times New Roman"/>
          <w:b/>
          <w:bCs/>
          <w:color w:val="auto"/>
          <w:sz w:val="24"/>
          <w:lang w:val="en-US" w:eastAsia="zh-CN"/>
        </w:rPr>
        <w:t>10</w:t>
      </w:r>
      <w:r>
        <w:rPr>
          <w:rFonts w:hint="default" w:ascii="Times New Roman" w:hAnsi="Times New Roman" w:cs="Times New Roman"/>
          <w:b/>
          <w:bCs/>
          <w:color w:val="auto"/>
          <w:sz w:val="24"/>
        </w:rPr>
        <w:t>月</w:t>
      </w:r>
    </w:p>
    <w:p w14:paraId="181D00E3">
      <w:pPr>
        <w:pStyle w:val="7"/>
        <w:keepNext w:val="0"/>
        <w:keepLines w:val="0"/>
        <w:pageBreakBefore w:val="0"/>
        <w:widowControl w:val="0"/>
        <w:kinsoku/>
        <w:wordWrap/>
        <w:overflowPunct/>
        <w:topLinePunct w:val="0"/>
        <w:autoSpaceDE/>
        <w:autoSpaceDN/>
        <w:bidi w:val="0"/>
        <w:adjustRightInd/>
        <w:snapToGrid/>
        <w:spacing w:after="0" w:line="720" w:lineRule="exact"/>
        <w:ind w:firstLine="0" w:firstLineChars="0"/>
        <w:jc w:val="center"/>
        <w:textAlignment w:val="auto"/>
        <w:rPr>
          <w:rFonts w:hint="default" w:ascii="Times New Roman" w:hAnsi="Times New Roman" w:cs="Times New Roman"/>
          <w:b/>
          <w:bCs/>
          <w:color w:val="auto"/>
          <w:sz w:val="44"/>
          <w:szCs w:val="44"/>
          <w:lang w:eastAsia="zh-CN"/>
        </w:rPr>
      </w:pPr>
    </w:p>
    <w:p w14:paraId="47EC7ED8">
      <w:pPr>
        <w:keepNext w:val="0"/>
        <w:keepLines w:val="0"/>
        <w:pageBreakBefore w:val="0"/>
        <w:widowControl/>
        <w:kinsoku/>
        <w:wordWrap/>
        <w:overflowPunct/>
        <w:topLinePunct w:val="0"/>
        <w:autoSpaceDE/>
        <w:autoSpaceDN/>
        <w:bidi w:val="0"/>
        <w:adjustRightInd/>
        <w:snapToGrid/>
        <w:spacing w:line="800" w:lineRule="exact"/>
        <w:ind w:left="0" w:leftChars="0" w:firstLine="0" w:firstLineChars="0"/>
        <w:jc w:val="center"/>
        <w:textAlignment w:val="auto"/>
        <w:rPr>
          <w:rFonts w:hint="default" w:ascii="Times New Roman" w:hAnsi="Times New Roman" w:cs="Times New Roman"/>
          <w:b/>
          <w:bCs/>
          <w:color w:val="auto"/>
          <w:sz w:val="44"/>
          <w:szCs w:val="44"/>
          <w:lang w:eastAsia="zh-CN"/>
        </w:rPr>
      </w:pPr>
    </w:p>
    <w:p w14:paraId="3A7B1BDF">
      <w:pPr>
        <w:keepNext w:val="0"/>
        <w:keepLines w:val="0"/>
        <w:pageBreakBefore w:val="0"/>
        <w:widowControl/>
        <w:kinsoku/>
        <w:wordWrap/>
        <w:overflowPunct/>
        <w:topLinePunct w:val="0"/>
        <w:autoSpaceDE/>
        <w:autoSpaceDN/>
        <w:bidi w:val="0"/>
        <w:adjustRightInd/>
        <w:snapToGrid/>
        <w:spacing w:line="800" w:lineRule="exact"/>
        <w:ind w:left="0" w:leftChars="0" w:firstLine="0" w:firstLineChars="0"/>
        <w:jc w:val="center"/>
        <w:textAlignment w:val="auto"/>
        <w:rPr>
          <w:rFonts w:hint="default" w:ascii="Times New Roman" w:hAnsi="Times New Roman" w:cs="Times New Roman"/>
          <w:b/>
          <w:bCs/>
          <w:color w:val="auto"/>
          <w:sz w:val="36"/>
          <w:szCs w:val="36"/>
          <w:lang w:eastAsia="zh-CN"/>
        </w:rPr>
      </w:pPr>
      <w:r>
        <w:rPr>
          <w:rFonts w:hint="default" w:ascii="Times New Roman" w:hAnsi="Times New Roman" w:cs="Times New Roman"/>
          <w:b/>
          <w:bCs/>
          <w:color w:val="auto"/>
          <w:sz w:val="36"/>
          <w:szCs w:val="36"/>
          <w:lang w:eastAsia="zh-CN"/>
        </w:rPr>
        <w:t>江西临川鲁金矿业有限公司</w:t>
      </w:r>
    </w:p>
    <w:p w14:paraId="4C226B07">
      <w:pPr>
        <w:keepNext w:val="0"/>
        <w:keepLines w:val="0"/>
        <w:pageBreakBefore w:val="0"/>
        <w:widowControl/>
        <w:kinsoku/>
        <w:wordWrap/>
        <w:overflowPunct/>
        <w:topLinePunct w:val="0"/>
        <w:autoSpaceDE/>
        <w:autoSpaceDN/>
        <w:bidi w:val="0"/>
        <w:adjustRightInd/>
        <w:snapToGrid/>
        <w:spacing w:line="800" w:lineRule="exact"/>
        <w:ind w:left="0" w:leftChars="0" w:firstLine="0" w:firstLineChars="0"/>
        <w:jc w:val="center"/>
        <w:textAlignment w:val="auto"/>
        <w:rPr>
          <w:rFonts w:hint="default" w:ascii="Times New Roman" w:hAnsi="Times New Roman" w:cs="Times New Roman"/>
          <w:b/>
          <w:bCs/>
          <w:color w:val="auto"/>
          <w:sz w:val="36"/>
          <w:szCs w:val="36"/>
          <w:lang w:eastAsia="zh-CN"/>
        </w:rPr>
      </w:pPr>
      <w:r>
        <w:rPr>
          <w:rFonts w:hint="default" w:ascii="Times New Roman" w:hAnsi="Times New Roman" w:cs="Times New Roman"/>
          <w:b/>
          <w:bCs/>
          <w:color w:val="auto"/>
          <w:sz w:val="36"/>
          <w:szCs w:val="36"/>
          <w:lang w:eastAsia="zh-CN"/>
        </w:rPr>
        <w:t>茅排金矿庄前尾矿库</w:t>
      </w:r>
    </w:p>
    <w:p w14:paraId="6115AAC2">
      <w:pPr>
        <w:keepNext w:val="0"/>
        <w:keepLines w:val="0"/>
        <w:pageBreakBefore w:val="0"/>
        <w:widowControl/>
        <w:kinsoku/>
        <w:wordWrap/>
        <w:overflowPunct/>
        <w:topLinePunct w:val="0"/>
        <w:autoSpaceDE/>
        <w:autoSpaceDN/>
        <w:bidi w:val="0"/>
        <w:adjustRightInd/>
        <w:snapToGrid/>
        <w:spacing w:line="800" w:lineRule="exact"/>
        <w:ind w:left="0" w:leftChars="0" w:firstLine="0" w:firstLineChars="0"/>
        <w:jc w:val="center"/>
        <w:textAlignment w:val="auto"/>
        <w:rPr>
          <w:rFonts w:hint="default" w:ascii="Times New Roman" w:hAnsi="Times New Roman" w:cs="Times New Roman"/>
          <w:b/>
          <w:bCs/>
          <w:color w:val="auto"/>
          <w:sz w:val="36"/>
          <w:szCs w:val="36"/>
          <w:lang w:eastAsia="zh-CN"/>
        </w:rPr>
      </w:pPr>
      <w:r>
        <w:rPr>
          <w:rFonts w:hint="eastAsia" w:ascii="黑体" w:hAnsi="黑体" w:eastAsia="黑体" w:cs="黑体"/>
          <w:b/>
          <w:bCs/>
          <w:color w:val="auto"/>
          <w:sz w:val="36"/>
          <w:szCs w:val="36"/>
          <w:lang w:eastAsia="zh-CN"/>
        </w:rPr>
        <w:t>安全现状评价报告</w:t>
      </w:r>
    </w:p>
    <w:p w14:paraId="49D8C10E">
      <w:pPr>
        <w:keepNext w:val="0"/>
        <w:keepLines w:val="0"/>
        <w:pageBreakBefore w:val="0"/>
        <w:widowControl/>
        <w:kinsoku/>
        <w:wordWrap/>
        <w:overflowPunct/>
        <w:topLinePunct w:val="0"/>
        <w:autoSpaceDE/>
        <w:autoSpaceDN/>
        <w:bidi w:val="0"/>
        <w:adjustRightInd/>
        <w:snapToGrid/>
        <w:spacing w:line="800" w:lineRule="exact"/>
        <w:ind w:left="0" w:leftChars="0" w:firstLine="640" w:firstLineChars="200"/>
        <w:jc w:val="left"/>
        <w:textAlignment w:val="auto"/>
        <w:rPr>
          <w:rFonts w:hint="default" w:ascii="Times New Roman" w:hAnsi="Times New Roman" w:cs="Times New Roman"/>
          <w:color w:val="auto"/>
          <w:kern w:val="0"/>
          <w:sz w:val="32"/>
          <w:szCs w:val="32"/>
        </w:rPr>
      </w:pPr>
      <w:r>
        <w:rPr>
          <w:rFonts w:hint="default" w:ascii="Times New Roman" w:hAnsi="Times New Roman" w:cs="Times New Roman"/>
          <w:color w:val="auto"/>
          <w:kern w:val="0"/>
          <w:sz w:val="32"/>
          <w:szCs w:val="32"/>
        </w:rPr>
        <w:t>一、在本项目安全评价活动过程中</w:t>
      </w:r>
      <w:r>
        <w:rPr>
          <w:rFonts w:hint="eastAsia" w:ascii="Times New Roman" w:hAnsi="Times New Roman" w:cs="Times New Roman"/>
          <w:color w:val="auto"/>
          <w:kern w:val="0"/>
          <w:sz w:val="32"/>
          <w:szCs w:val="32"/>
          <w:lang w:eastAsia="zh-CN"/>
        </w:rPr>
        <w:t>，</w:t>
      </w:r>
      <w:r>
        <w:rPr>
          <w:rFonts w:hint="default" w:ascii="Times New Roman" w:hAnsi="Times New Roman" w:cs="Times New Roman"/>
          <w:color w:val="auto"/>
          <w:kern w:val="0"/>
          <w:sz w:val="32"/>
          <w:szCs w:val="32"/>
        </w:rPr>
        <w:t xml:space="preserve">我单位严格遵守《安全生产法》及相关法律、法规和标准的要求。 </w:t>
      </w:r>
    </w:p>
    <w:p w14:paraId="06A65B11">
      <w:pPr>
        <w:keepNext w:val="0"/>
        <w:keepLines w:val="0"/>
        <w:pageBreakBefore w:val="0"/>
        <w:widowControl/>
        <w:kinsoku/>
        <w:wordWrap/>
        <w:overflowPunct/>
        <w:topLinePunct w:val="0"/>
        <w:autoSpaceDE/>
        <w:autoSpaceDN/>
        <w:bidi w:val="0"/>
        <w:adjustRightInd/>
        <w:snapToGrid/>
        <w:spacing w:line="800" w:lineRule="exact"/>
        <w:ind w:left="0" w:leftChars="0" w:firstLine="640" w:firstLineChars="200"/>
        <w:jc w:val="left"/>
        <w:textAlignment w:val="auto"/>
        <w:rPr>
          <w:rFonts w:hint="default" w:ascii="Times New Roman" w:hAnsi="Times New Roman" w:cs="Times New Roman"/>
          <w:color w:val="auto"/>
          <w:kern w:val="0"/>
          <w:sz w:val="32"/>
          <w:szCs w:val="32"/>
        </w:rPr>
      </w:pPr>
      <w:r>
        <w:rPr>
          <w:rFonts w:hint="default" w:ascii="Times New Roman" w:hAnsi="Times New Roman" w:cs="Times New Roman"/>
          <w:color w:val="auto"/>
          <w:kern w:val="0"/>
          <w:sz w:val="32"/>
          <w:szCs w:val="32"/>
        </w:rPr>
        <w:t>二、在本项目安全评价活动过程中</w:t>
      </w:r>
      <w:r>
        <w:rPr>
          <w:rFonts w:hint="eastAsia" w:ascii="Times New Roman" w:hAnsi="Times New Roman" w:cs="Times New Roman"/>
          <w:color w:val="auto"/>
          <w:kern w:val="0"/>
          <w:sz w:val="32"/>
          <w:szCs w:val="32"/>
          <w:lang w:eastAsia="zh-CN"/>
        </w:rPr>
        <w:t>，</w:t>
      </w:r>
      <w:r>
        <w:rPr>
          <w:rFonts w:hint="default" w:ascii="Times New Roman" w:hAnsi="Times New Roman" w:cs="Times New Roman"/>
          <w:color w:val="auto"/>
          <w:kern w:val="0"/>
          <w:sz w:val="32"/>
          <w:szCs w:val="32"/>
        </w:rPr>
        <w:t>我单位作为第三方</w:t>
      </w:r>
      <w:r>
        <w:rPr>
          <w:rFonts w:hint="eastAsia" w:ascii="Times New Roman" w:hAnsi="Times New Roman" w:cs="Times New Roman"/>
          <w:color w:val="auto"/>
          <w:kern w:val="0"/>
          <w:sz w:val="32"/>
          <w:szCs w:val="32"/>
          <w:lang w:eastAsia="zh-CN"/>
        </w:rPr>
        <w:t>，</w:t>
      </w:r>
      <w:r>
        <w:rPr>
          <w:rFonts w:hint="default" w:ascii="Times New Roman" w:hAnsi="Times New Roman" w:cs="Times New Roman"/>
          <w:color w:val="auto"/>
          <w:kern w:val="0"/>
          <w:sz w:val="32"/>
          <w:szCs w:val="32"/>
        </w:rPr>
        <w:t>未受到任何组织和个人的干预和影响</w:t>
      </w:r>
      <w:r>
        <w:rPr>
          <w:rFonts w:hint="eastAsia" w:ascii="Times New Roman" w:hAnsi="Times New Roman" w:cs="Times New Roman"/>
          <w:color w:val="auto"/>
          <w:kern w:val="0"/>
          <w:sz w:val="32"/>
          <w:szCs w:val="32"/>
          <w:lang w:eastAsia="zh-CN"/>
        </w:rPr>
        <w:t>，</w:t>
      </w:r>
      <w:r>
        <w:rPr>
          <w:rFonts w:hint="default" w:ascii="Times New Roman" w:hAnsi="Times New Roman" w:cs="Times New Roman"/>
          <w:color w:val="auto"/>
          <w:kern w:val="0"/>
          <w:sz w:val="32"/>
          <w:szCs w:val="32"/>
        </w:rPr>
        <w:t>依法独立开展工作</w:t>
      </w:r>
      <w:r>
        <w:rPr>
          <w:rFonts w:hint="eastAsia" w:ascii="Times New Roman" w:hAnsi="Times New Roman" w:cs="Times New Roman"/>
          <w:color w:val="auto"/>
          <w:kern w:val="0"/>
          <w:sz w:val="32"/>
          <w:szCs w:val="32"/>
          <w:lang w:eastAsia="zh-CN"/>
        </w:rPr>
        <w:t>，</w:t>
      </w:r>
      <w:r>
        <w:rPr>
          <w:rFonts w:hint="default" w:ascii="Times New Roman" w:hAnsi="Times New Roman" w:cs="Times New Roman"/>
          <w:color w:val="auto"/>
          <w:kern w:val="0"/>
          <w:sz w:val="32"/>
          <w:szCs w:val="32"/>
        </w:rPr>
        <w:t>保证了技术服务活动的客观公正性。</w:t>
      </w:r>
    </w:p>
    <w:p w14:paraId="5C1AB461">
      <w:pPr>
        <w:keepNext w:val="0"/>
        <w:keepLines w:val="0"/>
        <w:pageBreakBefore w:val="0"/>
        <w:widowControl/>
        <w:kinsoku/>
        <w:wordWrap/>
        <w:overflowPunct/>
        <w:topLinePunct w:val="0"/>
        <w:autoSpaceDE/>
        <w:autoSpaceDN/>
        <w:bidi w:val="0"/>
        <w:adjustRightInd/>
        <w:snapToGrid/>
        <w:spacing w:line="800" w:lineRule="exact"/>
        <w:ind w:left="0" w:leftChars="0" w:firstLine="640" w:firstLineChars="200"/>
        <w:jc w:val="left"/>
        <w:textAlignment w:val="auto"/>
        <w:rPr>
          <w:rFonts w:hint="default" w:ascii="Times New Roman" w:hAnsi="Times New Roman" w:cs="Times New Roman"/>
          <w:color w:val="auto"/>
          <w:kern w:val="0"/>
          <w:sz w:val="32"/>
          <w:szCs w:val="32"/>
        </w:rPr>
      </w:pPr>
      <w:r>
        <w:rPr>
          <w:rFonts w:hint="default" w:ascii="Times New Roman" w:hAnsi="Times New Roman" w:cs="Times New Roman"/>
          <w:color w:val="auto"/>
          <w:kern w:val="0"/>
          <w:sz w:val="32"/>
          <w:szCs w:val="32"/>
        </w:rPr>
        <w:t>三、我单位按照实事求是的原则</w:t>
      </w:r>
      <w:r>
        <w:rPr>
          <w:rFonts w:hint="eastAsia" w:ascii="Times New Roman" w:hAnsi="Times New Roman" w:cs="Times New Roman"/>
          <w:color w:val="auto"/>
          <w:kern w:val="0"/>
          <w:sz w:val="32"/>
          <w:szCs w:val="32"/>
          <w:lang w:eastAsia="zh-CN"/>
        </w:rPr>
        <w:t>，</w:t>
      </w:r>
      <w:r>
        <w:rPr>
          <w:rFonts w:hint="default" w:ascii="Times New Roman" w:hAnsi="Times New Roman" w:cs="Times New Roman"/>
          <w:color w:val="auto"/>
          <w:kern w:val="0"/>
          <w:sz w:val="32"/>
          <w:szCs w:val="32"/>
        </w:rPr>
        <w:t>对本项目进行安全评价</w:t>
      </w:r>
      <w:r>
        <w:rPr>
          <w:rFonts w:hint="eastAsia" w:ascii="Times New Roman" w:hAnsi="Times New Roman" w:cs="Times New Roman"/>
          <w:color w:val="auto"/>
          <w:kern w:val="0"/>
          <w:sz w:val="32"/>
          <w:szCs w:val="32"/>
          <w:lang w:eastAsia="zh-CN"/>
        </w:rPr>
        <w:t>，</w:t>
      </w:r>
      <w:r>
        <w:rPr>
          <w:rFonts w:hint="default" w:ascii="Times New Roman" w:hAnsi="Times New Roman" w:cs="Times New Roman"/>
          <w:color w:val="auto"/>
          <w:kern w:val="0"/>
          <w:sz w:val="32"/>
          <w:szCs w:val="32"/>
        </w:rPr>
        <w:t>确保出具的报告均真实有效。</w:t>
      </w:r>
    </w:p>
    <w:p w14:paraId="1AE4333C">
      <w:pPr>
        <w:keepNext w:val="0"/>
        <w:keepLines w:val="0"/>
        <w:pageBreakBefore w:val="0"/>
        <w:widowControl/>
        <w:kinsoku/>
        <w:wordWrap/>
        <w:overflowPunct/>
        <w:topLinePunct w:val="0"/>
        <w:autoSpaceDE/>
        <w:autoSpaceDN/>
        <w:bidi w:val="0"/>
        <w:adjustRightInd/>
        <w:snapToGrid/>
        <w:spacing w:line="800" w:lineRule="exact"/>
        <w:ind w:left="0" w:leftChars="0" w:firstLine="640" w:firstLineChars="200"/>
        <w:jc w:val="left"/>
        <w:textAlignment w:val="auto"/>
        <w:rPr>
          <w:rFonts w:hint="default" w:ascii="Times New Roman" w:hAnsi="Times New Roman" w:cs="Times New Roman"/>
          <w:color w:val="auto"/>
          <w:kern w:val="0"/>
          <w:sz w:val="32"/>
          <w:szCs w:val="32"/>
        </w:rPr>
      </w:pPr>
      <w:r>
        <w:rPr>
          <w:rFonts w:hint="default" w:ascii="Times New Roman" w:hAnsi="Times New Roman" w:cs="Times New Roman"/>
          <w:color w:val="auto"/>
          <w:kern w:val="0"/>
          <w:sz w:val="32"/>
          <w:szCs w:val="32"/>
        </w:rPr>
        <w:t>四、我单位对本项目安全评价报告中结论性内容承担法律责任。</w:t>
      </w:r>
    </w:p>
    <w:p w14:paraId="2529F548">
      <w:pPr>
        <w:keepNext w:val="0"/>
        <w:keepLines w:val="0"/>
        <w:pageBreakBefore w:val="0"/>
        <w:widowControl/>
        <w:kinsoku/>
        <w:wordWrap/>
        <w:overflowPunct/>
        <w:topLinePunct w:val="0"/>
        <w:autoSpaceDE/>
        <w:autoSpaceDN/>
        <w:bidi w:val="0"/>
        <w:adjustRightInd/>
        <w:snapToGrid/>
        <w:spacing w:line="800" w:lineRule="exact"/>
        <w:ind w:left="5440" w:leftChars="0" w:hanging="5440" w:hangingChars="1700"/>
        <w:jc w:val="left"/>
        <w:textAlignment w:val="auto"/>
        <w:rPr>
          <w:rFonts w:hint="default" w:ascii="Times New Roman" w:hAnsi="Times New Roman" w:cs="Times New Roman"/>
          <w:color w:val="auto"/>
          <w:kern w:val="0"/>
          <w:sz w:val="32"/>
          <w:szCs w:val="32"/>
        </w:rPr>
      </w:pPr>
    </w:p>
    <w:p w14:paraId="16FE262F">
      <w:pPr>
        <w:keepNext w:val="0"/>
        <w:keepLines w:val="0"/>
        <w:pageBreakBefore w:val="0"/>
        <w:widowControl/>
        <w:kinsoku/>
        <w:wordWrap/>
        <w:overflowPunct/>
        <w:topLinePunct w:val="0"/>
        <w:autoSpaceDE/>
        <w:autoSpaceDN/>
        <w:bidi w:val="0"/>
        <w:adjustRightInd/>
        <w:snapToGrid/>
        <w:spacing w:line="800" w:lineRule="exact"/>
        <w:jc w:val="right"/>
        <w:textAlignment w:val="auto"/>
        <w:rPr>
          <w:rFonts w:hint="default" w:ascii="Times New Roman" w:hAnsi="Times New Roman" w:eastAsia="宋体" w:cs="Times New Roman"/>
          <w:color w:val="auto"/>
          <w:kern w:val="0"/>
          <w:sz w:val="32"/>
          <w:szCs w:val="32"/>
          <w:lang w:val="en-US" w:eastAsia="zh-CN"/>
        </w:rPr>
      </w:pPr>
      <w:r>
        <w:rPr>
          <w:rFonts w:hint="default" w:ascii="Times New Roman" w:hAnsi="Times New Roman" w:cs="Times New Roman"/>
          <w:color w:val="auto"/>
          <w:kern w:val="0"/>
          <w:sz w:val="32"/>
          <w:szCs w:val="32"/>
        </w:rPr>
        <w:t>江西赣安安全生产科学技术咨询服务中心</w:t>
      </w:r>
    </w:p>
    <w:p w14:paraId="0E0ABA07">
      <w:pPr>
        <w:keepNext w:val="0"/>
        <w:keepLines w:val="0"/>
        <w:pageBreakBefore w:val="0"/>
        <w:widowControl/>
        <w:kinsoku/>
        <w:wordWrap/>
        <w:overflowPunct/>
        <w:topLinePunct w:val="0"/>
        <w:autoSpaceDE/>
        <w:autoSpaceDN/>
        <w:bidi w:val="0"/>
        <w:adjustRightInd/>
        <w:snapToGrid/>
        <w:spacing w:line="800" w:lineRule="exact"/>
        <w:ind w:left="0" w:firstLine="5120" w:firstLineChars="1600"/>
        <w:jc w:val="left"/>
        <w:textAlignment w:val="auto"/>
        <w:rPr>
          <w:rFonts w:hint="default" w:ascii="Times New Roman" w:hAnsi="Times New Roman" w:cs="Times New Roman"/>
          <w:color w:val="auto"/>
          <w:kern w:val="0"/>
          <w:sz w:val="32"/>
          <w:szCs w:val="32"/>
        </w:rPr>
      </w:pPr>
      <w:r>
        <w:rPr>
          <w:rFonts w:hint="default" w:ascii="Times New Roman" w:hAnsi="Times New Roman" w:cs="Times New Roman"/>
          <w:color w:val="auto"/>
          <w:kern w:val="0"/>
          <w:sz w:val="32"/>
          <w:szCs w:val="32"/>
        </w:rPr>
        <w:t>202</w:t>
      </w:r>
      <w:r>
        <w:rPr>
          <w:rFonts w:hint="default" w:ascii="Times New Roman" w:hAnsi="Times New Roman" w:cs="Times New Roman"/>
          <w:color w:val="auto"/>
          <w:kern w:val="0"/>
          <w:sz w:val="32"/>
          <w:szCs w:val="32"/>
          <w:lang w:val="en-US" w:eastAsia="zh-CN"/>
        </w:rPr>
        <w:t>4</w:t>
      </w:r>
      <w:r>
        <w:rPr>
          <w:rFonts w:hint="default" w:ascii="Times New Roman" w:hAnsi="Times New Roman" w:cs="Times New Roman"/>
          <w:color w:val="auto"/>
          <w:kern w:val="0"/>
          <w:sz w:val="32"/>
          <w:szCs w:val="32"/>
        </w:rPr>
        <w:t>年</w:t>
      </w:r>
      <w:r>
        <w:rPr>
          <w:rFonts w:hint="eastAsia" w:ascii="Times New Roman" w:hAnsi="Times New Roman" w:cs="Times New Roman"/>
          <w:color w:val="auto"/>
          <w:kern w:val="0"/>
          <w:sz w:val="32"/>
          <w:szCs w:val="32"/>
          <w:lang w:val="en-US" w:eastAsia="zh-CN"/>
        </w:rPr>
        <w:t>10</w:t>
      </w:r>
      <w:r>
        <w:rPr>
          <w:rFonts w:hint="default" w:ascii="Times New Roman" w:hAnsi="Times New Roman" w:cs="Times New Roman"/>
          <w:color w:val="auto"/>
          <w:kern w:val="0"/>
          <w:sz w:val="32"/>
          <w:szCs w:val="32"/>
        </w:rPr>
        <w:t>月</w:t>
      </w:r>
    </w:p>
    <w:p w14:paraId="6B7E25B8">
      <w:pPr>
        <w:keepNext w:val="0"/>
        <w:keepLines w:val="0"/>
        <w:pageBreakBefore w:val="0"/>
        <w:widowControl/>
        <w:kinsoku/>
        <w:wordWrap/>
        <w:overflowPunct/>
        <w:topLinePunct w:val="0"/>
        <w:autoSpaceDE/>
        <w:autoSpaceDN/>
        <w:bidi w:val="0"/>
        <w:adjustRightInd/>
        <w:snapToGrid/>
        <w:spacing w:line="800" w:lineRule="exact"/>
        <w:ind w:left="0" w:firstLine="4800" w:firstLineChars="1500"/>
        <w:jc w:val="left"/>
        <w:textAlignment w:val="auto"/>
        <w:rPr>
          <w:rFonts w:hint="default" w:ascii="Times New Roman" w:hAnsi="Times New Roman" w:cs="Times New Roman"/>
          <w:color w:val="auto"/>
          <w:kern w:val="0"/>
          <w:sz w:val="32"/>
          <w:szCs w:val="32"/>
        </w:rPr>
      </w:pPr>
    </w:p>
    <w:p w14:paraId="7FB7100E">
      <w:pPr>
        <w:keepNext w:val="0"/>
        <w:keepLines w:val="0"/>
        <w:pageBreakBefore w:val="0"/>
        <w:widowControl/>
        <w:kinsoku/>
        <w:wordWrap/>
        <w:overflowPunct/>
        <w:topLinePunct w:val="0"/>
        <w:autoSpaceDE/>
        <w:autoSpaceDN/>
        <w:bidi w:val="0"/>
        <w:adjustRightInd/>
        <w:snapToGrid/>
        <w:spacing w:line="800" w:lineRule="exact"/>
        <w:ind w:left="0" w:firstLine="4800" w:firstLineChars="1500"/>
        <w:jc w:val="left"/>
        <w:textAlignment w:val="auto"/>
        <w:rPr>
          <w:rFonts w:hint="default" w:ascii="Times New Roman" w:hAnsi="Times New Roman" w:cs="Times New Roman"/>
          <w:color w:val="auto"/>
          <w:kern w:val="0"/>
          <w:sz w:val="32"/>
          <w:szCs w:val="32"/>
        </w:rPr>
      </w:pPr>
    </w:p>
    <w:p w14:paraId="0D7146D7">
      <w:pPr>
        <w:keepNext w:val="0"/>
        <w:keepLines w:val="0"/>
        <w:pageBreakBefore w:val="0"/>
        <w:widowControl/>
        <w:kinsoku/>
        <w:wordWrap/>
        <w:overflowPunct/>
        <w:topLinePunct w:val="0"/>
        <w:autoSpaceDE/>
        <w:autoSpaceDN/>
        <w:bidi w:val="0"/>
        <w:adjustRightInd/>
        <w:snapToGrid/>
        <w:spacing w:beforeAutospacing="0" w:afterAutospacing="0" w:line="720" w:lineRule="exact"/>
        <w:ind w:firstLine="0" w:firstLineChars="0"/>
        <w:jc w:val="center"/>
        <w:textAlignment w:val="auto"/>
        <w:rPr>
          <w:rFonts w:hint="default" w:ascii="Times New Roman" w:hAnsi="Times New Roman" w:cs="Times New Roman"/>
          <w:color w:val="auto"/>
        </w:rPr>
      </w:pPr>
      <w:r>
        <w:rPr>
          <w:rFonts w:hint="default" w:ascii="Times New Roman" w:hAnsi="Times New Roman" w:eastAsia="方正小标宋简体" w:cs="Times New Roman"/>
          <w:color w:val="auto"/>
          <w:sz w:val="44"/>
          <w:szCs w:val="44"/>
        </w:rPr>
        <w:t>规范安全生产中介行为的九条禁令</w:t>
      </w:r>
    </w:p>
    <w:p w14:paraId="1C99F94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0" w:firstLineChars="0"/>
        <w:jc w:val="center"/>
        <w:textAlignment w:val="auto"/>
        <w:rPr>
          <w:rFonts w:hint="default" w:ascii="Times New Roman" w:hAnsi="Times New Roman" w:cs="Times New Roman"/>
          <w:color w:val="auto"/>
          <w:sz w:val="32"/>
          <w:szCs w:val="32"/>
        </w:rPr>
      </w:pPr>
      <w:r>
        <w:rPr>
          <w:rFonts w:hint="default" w:ascii="Times New Roman" w:hAnsi="Times New Roman" w:eastAsia="宋体" w:cs="Times New Roman"/>
          <w:color w:val="auto"/>
          <w:sz w:val="28"/>
          <w:szCs w:val="28"/>
        </w:rPr>
        <w:t>赣安监管规划字〔2017〕178号</w:t>
      </w:r>
    </w:p>
    <w:p w14:paraId="65C0370B">
      <w:pPr>
        <w:pStyle w:val="15"/>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一、禁止从事安全生产和职业卫生服务的中介服务机构（以下统称中介机构）租借资质证书、非法挂靠、转包服务项目的行为；</w:t>
      </w:r>
    </w:p>
    <w:p w14:paraId="195AAD80">
      <w:pPr>
        <w:pStyle w:val="15"/>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32"/>
          <w:szCs w:val="32"/>
        </w:rPr>
        <w:t>二、禁止中介机构假借、冒用他人名义要求服务对象接受有偿服务</w:t>
      </w:r>
      <w:r>
        <w:rPr>
          <w:rFonts w:hint="eastAsia" w:ascii="Times New Roman" w:hAnsi="Times New Roman" w:cs="Times New Roman"/>
          <w:color w:val="auto"/>
          <w:sz w:val="32"/>
          <w:szCs w:val="32"/>
          <w:lang w:eastAsia="zh-CN"/>
        </w:rPr>
        <w:t>，</w:t>
      </w:r>
      <w:r>
        <w:rPr>
          <w:rFonts w:hint="default" w:ascii="Times New Roman" w:hAnsi="Times New Roman" w:cs="Times New Roman"/>
          <w:color w:val="auto"/>
          <w:sz w:val="32"/>
          <w:szCs w:val="32"/>
        </w:rPr>
        <w:t>或者恶意低价竞争以及采取串标、围标等不正当竞争手段</w:t>
      </w:r>
      <w:r>
        <w:rPr>
          <w:rFonts w:hint="eastAsia" w:ascii="Times New Roman" w:hAnsi="Times New Roman" w:cs="Times New Roman"/>
          <w:color w:val="auto"/>
          <w:sz w:val="32"/>
          <w:szCs w:val="32"/>
          <w:lang w:eastAsia="zh-CN"/>
        </w:rPr>
        <w:t>，</w:t>
      </w:r>
      <w:r>
        <w:rPr>
          <w:rFonts w:hint="default" w:ascii="Times New Roman" w:hAnsi="Times New Roman" w:cs="Times New Roman"/>
          <w:color w:val="auto"/>
          <w:sz w:val="32"/>
          <w:szCs w:val="32"/>
        </w:rPr>
        <w:t>扰乱技术服务市场秩序的行为；</w:t>
      </w:r>
    </w:p>
    <w:p w14:paraId="02913210">
      <w:pPr>
        <w:pStyle w:val="15"/>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32"/>
          <w:szCs w:val="32"/>
        </w:rPr>
        <w:t>三、禁止中介机构出具虚假或漏项、缺项技术报告的行为；</w:t>
      </w:r>
    </w:p>
    <w:p w14:paraId="0DFBC3ED">
      <w:pPr>
        <w:pStyle w:val="15"/>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四、禁止中介机构出租、出借资格证书、在报告上冒用他人签名的行为；</w:t>
      </w:r>
    </w:p>
    <w:p w14:paraId="7F5B1802">
      <w:pPr>
        <w:pStyle w:val="15"/>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32"/>
          <w:szCs w:val="32"/>
        </w:rPr>
        <w:t>五、禁止中介机构有应到而不到现场开展技术服务的行为；</w:t>
      </w:r>
      <w:r>
        <w:rPr>
          <w:rFonts w:hint="default" w:ascii="Times New Roman" w:hAnsi="Times New Roman" w:cs="Times New Roman"/>
          <w:color w:val="auto"/>
          <w:sz w:val="18"/>
          <w:szCs w:val="18"/>
        </w:rPr>
        <w:t xml:space="preserve"> </w:t>
      </w:r>
    </w:p>
    <w:p w14:paraId="22D8A1C4">
      <w:pPr>
        <w:pStyle w:val="15"/>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32"/>
          <w:szCs w:val="32"/>
        </w:rPr>
        <w:t>六、禁止安全生产监管部门及其工作人员要求生产经营单位接受指定的中介机构开展技术服务的行为；</w:t>
      </w:r>
    </w:p>
    <w:p w14:paraId="70CEF75C">
      <w:pPr>
        <w:pStyle w:val="15"/>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32"/>
          <w:szCs w:val="32"/>
        </w:rPr>
        <w:t>七、禁止安全生产监管部门及其工作人员没有法律依据组织由生产经营单位或机构支付费用的行政性评审的行为；</w:t>
      </w:r>
    </w:p>
    <w:p w14:paraId="35F16897">
      <w:pPr>
        <w:pStyle w:val="15"/>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八、禁止安全生产监管部门及其工作人员干预市场定价</w:t>
      </w:r>
      <w:r>
        <w:rPr>
          <w:rFonts w:hint="eastAsia" w:ascii="Times New Roman" w:hAnsi="Times New Roman" w:cs="Times New Roman"/>
          <w:color w:val="auto"/>
          <w:sz w:val="32"/>
          <w:szCs w:val="32"/>
          <w:lang w:eastAsia="zh-CN"/>
        </w:rPr>
        <w:t>，</w:t>
      </w:r>
      <w:r>
        <w:rPr>
          <w:rFonts w:hint="default" w:ascii="Times New Roman" w:hAnsi="Times New Roman" w:cs="Times New Roman"/>
          <w:color w:val="auto"/>
          <w:sz w:val="32"/>
          <w:szCs w:val="32"/>
        </w:rPr>
        <w:t>违规擅自出台技术服务收费标准的行为；</w:t>
      </w:r>
    </w:p>
    <w:p w14:paraId="1D5B5253">
      <w:pPr>
        <w:pStyle w:val="15"/>
        <w:keepNext w:val="0"/>
        <w:keepLines w:val="0"/>
        <w:pageBreakBefore w:val="0"/>
        <w:widowControl/>
        <w:kinsoku/>
        <w:wordWrap/>
        <w:overflowPunct/>
        <w:topLinePunct w:val="0"/>
        <w:autoSpaceDE/>
        <w:autoSpaceDN/>
        <w:bidi w:val="0"/>
        <w:adjustRightInd/>
        <w:snapToGrid w:val="0"/>
        <w:spacing w:before="0" w:beforeAutospacing="0" w:after="0" w:afterAutospacing="0" w:line="396" w:lineRule="auto"/>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九、禁止安全生产监管部门及其工作人员参与、擅自干预中介机构从业活动</w:t>
      </w:r>
      <w:r>
        <w:rPr>
          <w:rFonts w:hint="eastAsia" w:ascii="Times New Roman" w:hAnsi="Times New Roman" w:cs="Times New Roman"/>
          <w:color w:val="auto"/>
          <w:sz w:val="32"/>
          <w:szCs w:val="32"/>
          <w:lang w:eastAsia="zh-CN"/>
        </w:rPr>
        <w:t>，</w:t>
      </w:r>
      <w:r>
        <w:rPr>
          <w:rFonts w:hint="default" w:ascii="Times New Roman" w:hAnsi="Times New Roman" w:cs="Times New Roman"/>
          <w:color w:val="auto"/>
          <w:sz w:val="32"/>
          <w:szCs w:val="32"/>
        </w:rPr>
        <w:t>或者有获取不正当利益的行为。</w:t>
      </w:r>
    </w:p>
    <w:p w14:paraId="0EA4B89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color w:val="auto"/>
          <w:sz w:val="32"/>
          <w:szCs w:val="32"/>
        </w:rPr>
      </w:pPr>
    </w:p>
    <w:p w14:paraId="13BF981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color w:val="auto"/>
          <w:sz w:val="32"/>
          <w:szCs w:val="32"/>
        </w:rPr>
      </w:pPr>
      <w:r>
        <w:rPr>
          <w:rFonts w:hint="default" w:ascii="Times New Roman" w:hAnsi="Times New Roman" w:eastAsia="黑体" w:cs="Times New Roman"/>
          <w:b/>
          <w:color w:val="auto"/>
          <w:sz w:val="32"/>
          <w:szCs w:val="32"/>
        </w:rPr>
        <w:t>评 价 人 员</w:t>
      </w:r>
    </w:p>
    <w:p w14:paraId="7690489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color w:val="auto"/>
          <w:sz w:val="32"/>
          <w:szCs w:val="32"/>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7"/>
        <w:gridCol w:w="1290"/>
        <w:gridCol w:w="3018"/>
        <w:gridCol w:w="1564"/>
        <w:gridCol w:w="1301"/>
      </w:tblGrid>
      <w:tr w14:paraId="72A9C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3A4AFFF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B311BB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姓  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4B6E93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证书编号</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6C94CAC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从业登记号</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1651FAC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签字</w:t>
            </w:r>
          </w:p>
        </w:tc>
      </w:tr>
      <w:tr w14:paraId="6B97C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23B51FD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4990F3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264429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469B6F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692FFA8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1E812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vMerge w:val="restart"/>
            <w:tcBorders>
              <w:top w:val="single" w:color="auto" w:sz="4" w:space="0"/>
              <w:left w:val="single" w:color="auto" w:sz="4" w:space="0"/>
              <w:right w:val="single" w:color="auto" w:sz="4" w:space="0"/>
            </w:tcBorders>
            <w:noWrap w:val="0"/>
            <w:vAlign w:val="center"/>
          </w:tcPr>
          <w:p w14:paraId="5528E20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项目组成员</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C74795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管自强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6838B7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S011035000110191000614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5B2AF0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020516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5386E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A609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24464CC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CA18B5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郑  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932002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0800000000101605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AEBEE4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001851</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D5C13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17D4F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vMerge w:val="continue"/>
            <w:tcBorders>
              <w:left w:val="single" w:color="auto" w:sz="4" w:space="0"/>
              <w:right w:val="single" w:color="auto" w:sz="4" w:space="0"/>
            </w:tcBorders>
            <w:noWrap w:val="0"/>
            <w:vAlign w:val="center"/>
          </w:tcPr>
          <w:p w14:paraId="05A4C20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F202A5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黄伯扬</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7F54AE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w:t>
            </w:r>
            <w:r>
              <w:rPr>
                <w:rFonts w:hint="default" w:ascii="Times New Roman" w:hAnsi="Times New Roman" w:eastAsia="宋体" w:cs="Times New Roman"/>
                <w:color w:val="auto"/>
                <w:sz w:val="24"/>
              </w:rPr>
              <w:t>800000000</w:t>
            </w:r>
            <w:r>
              <w:rPr>
                <w:rFonts w:hint="default" w:ascii="Times New Roman" w:hAnsi="Times New Roman" w:cs="Times New Roman"/>
                <w:color w:val="auto"/>
                <w:sz w:val="24"/>
                <w:lang w:val="en-US" w:eastAsia="zh-CN"/>
              </w:rPr>
              <w:t>3</w:t>
            </w:r>
            <w:r>
              <w:rPr>
                <w:rFonts w:hint="default" w:ascii="Times New Roman" w:hAnsi="Times New Roman" w:eastAsia="宋体" w:cs="Times New Roman"/>
                <w:color w:val="auto"/>
                <w:sz w:val="24"/>
              </w:rPr>
              <w:t>0</w:t>
            </w:r>
            <w:r>
              <w:rPr>
                <w:rFonts w:hint="default" w:ascii="Times New Roman" w:hAnsi="Times New Roman" w:cs="Times New Roman"/>
                <w:color w:val="auto"/>
                <w:sz w:val="24"/>
                <w:lang w:val="en-US" w:eastAsia="zh-CN"/>
              </w:rPr>
              <w:t>0643</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84C7D8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032737</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126CA83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AAEB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03DA24E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621BC9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D07861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78DC5AF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835EC0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04160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68C10DB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7E26D9B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王纪鹏</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7D51E9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S01103500011019</w:t>
            </w:r>
            <w:r>
              <w:rPr>
                <w:rFonts w:hint="default" w:ascii="Times New Roman" w:hAnsi="Times New Roman" w:cs="Times New Roman"/>
                <w:color w:val="auto"/>
                <w:sz w:val="24"/>
                <w:lang w:val="en-US" w:eastAsia="zh-CN"/>
              </w:rPr>
              <w:t>2</w:t>
            </w:r>
            <w:r>
              <w:rPr>
                <w:rFonts w:hint="default" w:ascii="Times New Roman" w:hAnsi="Times New Roman" w:eastAsia="宋体" w:cs="Times New Roman"/>
                <w:color w:val="auto"/>
                <w:sz w:val="24"/>
              </w:rPr>
              <w:t>00</w:t>
            </w:r>
            <w:r>
              <w:rPr>
                <w:rFonts w:hint="default" w:ascii="Times New Roman" w:hAnsi="Times New Roman" w:cs="Times New Roman"/>
                <w:color w:val="auto"/>
                <w:sz w:val="24"/>
                <w:lang w:val="en-US" w:eastAsia="zh-CN"/>
              </w:rPr>
              <w:t>1552</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9E2DBC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036830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826168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7EC8E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tcBorders>
              <w:top w:val="single" w:color="auto" w:sz="4" w:space="0"/>
              <w:left w:val="single" w:color="auto" w:sz="4" w:space="0"/>
              <w:right w:val="single" w:color="auto" w:sz="4" w:space="0"/>
            </w:tcBorders>
            <w:noWrap w:val="0"/>
            <w:vAlign w:val="center"/>
          </w:tcPr>
          <w:p w14:paraId="27E5444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报告编制人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B6D3AF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709D957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1B975F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4EDEC40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58B6A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09C597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报告审核人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CC7AC9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戴磷</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50AB4F6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1100000000200597</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286CC25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019915</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9007A2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4828E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D86BF6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过程控制负责</w:t>
            </w:r>
            <w:r>
              <w:rPr>
                <w:rFonts w:hint="default" w:ascii="Times New Roman" w:hAnsi="Times New Roman" w:cs="Times New Roman"/>
                <w:color w:val="auto"/>
                <w:sz w:val="24"/>
                <w:lang w:val="en-US" w:eastAsia="zh-CN"/>
              </w:rPr>
              <w:t>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C1F6C0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檀廷斌</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50DB47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1600000000200717</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38C7C0E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029648</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CD7EA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ECBB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4BC25A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技术负责人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F95752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管自强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97CFA8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S011035000110191000614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03D801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020516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0FBCF6F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bl>
    <w:p w14:paraId="46471C0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color w:val="auto"/>
          <w:sz w:val="32"/>
          <w:szCs w:val="32"/>
        </w:rPr>
      </w:pPr>
    </w:p>
    <w:p w14:paraId="3FC735AE">
      <w:pPr>
        <w:rPr>
          <w:rFonts w:hint="default" w:ascii="Times New Roman" w:hAnsi="Times New Roman" w:eastAsia="黑体" w:cs="Times New Roman"/>
          <w:b/>
          <w:color w:val="auto"/>
          <w:sz w:val="32"/>
          <w:szCs w:val="32"/>
        </w:rPr>
      </w:pPr>
      <w:r>
        <w:rPr>
          <w:rFonts w:hint="default" w:ascii="Times New Roman" w:hAnsi="Times New Roman" w:eastAsia="黑体" w:cs="Times New Roman"/>
          <w:b/>
          <w:color w:val="auto"/>
          <w:sz w:val="32"/>
          <w:szCs w:val="32"/>
        </w:rPr>
        <w:br w:type="page"/>
      </w:r>
    </w:p>
    <w:p w14:paraId="270F9F96">
      <w:pPr>
        <w:pStyle w:val="3"/>
        <w:bidi w:val="0"/>
        <w:rPr>
          <w:rFonts w:hint="default" w:ascii="Times New Roman" w:hAnsi="Times New Roman" w:cs="Times New Roman"/>
          <w:color w:val="auto"/>
          <w:lang w:val="en-US" w:eastAsia="zh-CN"/>
        </w:rPr>
      </w:pPr>
      <w:bookmarkStart w:id="0" w:name="_Toc5532"/>
      <w:bookmarkStart w:id="1" w:name="_Toc14972"/>
      <w:r>
        <w:rPr>
          <w:rFonts w:hint="default" w:ascii="Times New Roman" w:hAnsi="Times New Roman" w:cs="Times New Roman"/>
          <w:color w:val="auto"/>
          <w:lang w:val="en-US" w:eastAsia="zh-CN"/>
        </w:rPr>
        <w:t>前言</w:t>
      </w:r>
      <w:bookmarkEnd w:id="0"/>
      <w:bookmarkEnd w:id="1"/>
    </w:p>
    <w:p w14:paraId="16EA6F89">
      <w:pPr>
        <w:bidi w:val="0"/>
        <w:rPr>
          <w:rFonts w:hint="default" w:ascii="Times New Roman" w:hAnsi="Times New Roman" w:cs="Times New Roman"/>
          <w:color w:val="auto"/>
        </w:rPr>
      </w:pPr>
      <w:r>
        <w:rPr>
          <w:rFonts w:hint="default" w:ascii="Times New Roman" w:hAnsi="Times New Roman" w:cs="Times New Roman"/>
          <w:color w:val="auto"/>
        </w:rPr>
        <w:t>江西临川鲁金矿业有限公司茅排金矿庄前尾矿库原由山东黄金设计院设计，设计坝型为碾压土料一次性筑坝。</w:t>
      </w:r>
    </w:p>
    <w:p w14:paraId="52BF32B2">
      <w:pPr>
        <w:bidi w:val="0"/>
        <w:rPr>
          <w:rFonts w:hint="default" w:ascii="Times New Roman" w:hAnsi="Times New Roman" w:cs="Times New Roman"/>
          <w:color w:val="auto"/>
        </w:rPr>
      </w:pPr>
      <w:r>
        <w:rPr>
          <w:rFonts w:hint="default" w:ascii="Times New Roman" w:hAnsi="Times New Roman" w:cs="Times New Roman"/>
          <w:color w:val="auto"/>
        </w:rPr>
        <w:t>2012年11月江西临川鲁金矿业有限公司委托金建工程设计有限公司对其庄前尾矿库进行整改设计。整改设计尾矿坝坝顶高程为233.0m，总坝高为21.0m，总库容约12.02×10</w:t>
      </w:r>
      <w:r>
        <w:rPr>
          <w:rFonts w:hint="default" w:ascii="Times New Roman" w:hAnsi="Times New Roman" w:cs="Times New Roman"/>
          <w:color w:val="auto"/>
          <w:vertAlign w:val="superscript"/>
        </w:rPr>
        <w:t>4</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，库容利用系数取0.9，有效库容约10.81×10</w:t>
      </w:r>
      <w:r>
        <w:rPr>
          <w:rFonts w:hint="default" w:ascii="Times New Roman" w:hAnsi="Times New Roman" w:cs="Times New Roman"/>
          <w:color w:val="auto"/>
          <w:vertAlign w:val="superscript"/>
        </w:rPr>
        <w:t>4</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，可为矿山服务5.17年。该尾矿库为五等库，库内主要构筑物级别为5级，次要构筑物级别为5级，临时构筑物为5等</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汇水面积为1.078km</w:t>
      </w:r>
      <w:r>
        <w:rPr>
          <w:rFonts w:hint="eastAsia" w:ascii="Times New Roman" w:hAnsi="Times New Roman" w:cs="Times New Roman"/>
          <w:color w:val="auto"/>
          <w:vertAlign w:val="superscript"/>
          <w:lang w:val="en-US" w:eastAsia="zh-CN"/>
        </w:rPr>
        <w:t>2</w:t>
      </w:r>
      <w:r>
        <w:rPr>
          <w:rFonts w:hint="eastAsia" w:ascii="Times New Roman" w:hAnsi="Times New Roman" w:cs="Times New Roman"/>
          <w:color w:val="auto"/>
          <w:vertAlign w:val="baseline"/>
          <w:lang w:val="en-US" w:eastAsia="zh-CN"/>
        </w:rPr>
        <w:t>，排水排洪系统有两套，一套由排水斜槽+连接井+排洪隧洞组成，另一套为设置于右坝肩的溢洪道</w:t>
      </w:r>
      <w:r>
        <w:rPr>
          <w:rFonts w:hint="default" w:ascii="Times New Roman" w:hAnsi="Times New Roman" w:cs="Times New Roman"/>
          <w:color w:val="auto"/>
        </w:rPr>
        <w:t>。</w:t>
      </w:r>
      <w:r>
        <w:rPr>
          <w:rFonts w:hint="eastAsia" w:ascii="Times New Roman" w:hAnsi="Times New Roman" w:cs="Times New Roman"/>
          <w:color w:val="auto"/>
          <w:lang w:val="en-US" w:eastAsia="zh-CN"/>
        </w:rPr>
        <w:t>其中，</w:t>
      </w:r>
      <w:r>
        <w:rPr>
          <w:rFonts w:hint="default" w:ascii="Times New Roman" w:hAnsi="Times New Roman" w:cs="Times New Roman"/>
          <w:color w:val="auto"/>
        </w:rPr>
        <w:t>溢洪道</w:t>
      </w:r>
      <w:r>
        <w:rPr>
          <w:rFonts w:hint="eastAsia" w:ascii="Times New Roman" w:hAnsi="Times New Roman" w:cs="Times New Roman"/>
          <w:color w:val="auto"/>
          <w:lang w:val="en-US" w:eastAsia="zh-CN"/>
        </w:rPr>
        <w:t>为设计新增</w:t>
      </w:r>
      <w:r>
        <w:rPr>
          <w:rFonts w:hint="default" w:ascii="Times New Roman" w:hAnsi="Times New Roman" w:cs="Times New Roman"/>
          <w:color w:val="auto"/>
        </w:rPr>
        <w:t>。</w:t>
      </w:r>
    </w:p>
    <w:p w14:paraId="24B4937A">
      <w:pPr>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尾矿库</w:t>
      </w:r>
      <w:r>
        <w:rPr>
          <w:rFonts w:hint="default" w:ascii="Times New Roman" w:hAnsi="Times New Roman" w:cs="Times New Roman"/>
          <w:color w:val="auto"/>
        </w:rPr>
        <w:t>上一轮安全生产许可期间生产基本情况</w:t>
      </w:r>
      <w:r>
        <w:rPr>
          <w:rFonts w:hint="eastAsia" w:ascii="Times New Roman" w:hAnsi="Times New Roman" w:cs="Times New Roman"/>
          <w:color w:val="auto"/>
          <w:lang w:val="en-US" w:eastAsia="zh-CN"/>
        </w:rPr>
        <w:t>良好，未发生安全生产事故，符合安全生产许可证延续条件。</w:t>
      </w:r>
    </w:p>
    <w:p w14:paraId="707FA138">
      <w:pPr>
        <w:bidi w:val="0"/>
        <w:rPr>
          <w:rFonts w:hint="eastAsia" w:ascii="Times New Roman" w:hAnsi="Times New Roman" w:cs="Times New Roman"/>
          <w:color w:val="auto"/>
          <w:lang w:val="en-US" w:eastAsia="zh-CN"/>
        </w:rPr>
      </w:pPr>
      <w:r>
        <w:rPr>
          <w:rFonts w:hint="default" w:ascii="Times New Roman" w:hAnsi="Times New Roman" w:cs="Times New Roman"/>
          <w:color w:val="auto"/>
        </w:rPr>
        <w:t>依照《关于做好非煤矿矿山企业安全生产许可证延期换证工作的通知》的通知，根据国务院《安全生产许可证条例》、《江西省安全生产条例》、《非煤矿山安全生产许可证实施办法》、《江西省非煤矿矿山企业安全生产许可证办法》规定及要求</w:t>
      </w:r>
      <w:r>
        <w:rPr>
          <w:rFonts w:hint="eastAsia" w:ascii="Times New Roman" w:hAnsi="Times New Roman" w:cs="Times New Roman"/>
          <w:color w:val="auto"/>
          <w:lang w:eastAsia="zh-CN"/>
        </w:rPr>
        <w:t>，非煤矿矿山企业向安全生产许可证颁发管理机关申请办理延期手续</w:t>
      </w:r>
      <w:r>
        <w:rPr>
          <w:rFonts w:hint="eastAsia" w:ascii="Times New Roman" w:hAnsi="Times New Roman" w:cs="Times New Roman"/>
          <w:color w:val="auto"/>
          <w:lang w:val="en-US" w:eastAsia="zh-CN"/>
        </w:rPr>
        <w:t>需提交由具备相应资质的中介服务机构出具的合格的安全现状评价报告。</w:t>
      </w:r>
    </w:p>
    <w:p w14:paraId="2C00AB3A">
      <w:pPr>
        <w:bidi w:val="0"/>
        <w:rPr>
          <w:rFonts w:hint="eastAsia" w:ascii="Times New Roman" w:hAnsi="Times New Roman" w:cs="Times New Roman"/>
          <w:color w:val="auto"/>
          <w:lang w:val="en-US" w:eastAsia="zh-CN"/>
        </w:rPr>
      </w:pPr>
      <w:r>
        <w:rPr>
          <w:rFonts w:hint="default" w:ascii="Times New Roman" w:hAnsi="Times New Roman" w:cs="Times New Roman"/>
          <w:color w:val="auto"/>
        </w:rPr>
        <w:t>江西临川鲁金矿业有限公司</w:t>
      </w:r>
      <w:r>
        <w:rPr>
          <w:rFonts w:hint="eastAsia" w:ascii="Times New Roman" w:hAnsi="Times New Roman" w:cs="Times New Roman"/>
          <w:color w:val="auto"/>
          <w:lang w:val="en-US" w:eastAsia="zh-CN"/>
        </w:rPr>
        <w:t>为延续由</w:t>
      </w:r>
      <w:r>
        <w:rPr>
          <w:rFonts w:hint="default" w:ascii="Times New Roman" w:hAnsi="Times New Roman" w:cs="Times New Roman"/>
          <w:color w:val="auto"/>
        </w:rPr>
        <w:t>抚州市应急管理局颁发的茅排金矿庄前尾矿库安全生产许可证</w:t>
      </w:r>
      <w:r>
        <w:rPr>
          <w:rFonts w:hint="eastAsia" w:ascii="Times New Roman" w:hAnsi="Times New Roman" w:cs="Times New Roman"/>
          <w:color w:val="auto"/>
          <w:lang w:eastAsia="zh-CN"/>
        </w:rPr>
        <w:t>（证书编号为（赣）FM安许证字[20</w:t>
      </w:r>
      <w:r>
        <w:rPr>
          <w:rFonts w:hint="eastAsia" w:ascii="Times New Roman" w:hAnsi="Times New Roman" w:cs="Times New Roman"/>
          <w:color w:val="auto"/>
          <w:lang w:val="en-US" w:eastAsia="zh-CN"/>
        </w:rPr>
        <w:t>14</w:t>
      </w:r>
      <w:r>
        <w:rPr>
          <w:rFonts w:hint="eastAsia" w:ascii="Times New Roman" w:hAnsi="Times New Roman" w:cs="Times New Roman"/>
          <w:color w:val="auto"/>
          <w:lang w:eastAsia="zh-CN"/>
        </w:rPr>
        <w:t>]F00</w:t>
      </w:r>
      <w:r>
        <w:rPr>
          <w:rFonts w:hint="eastAsia" w:ascii="Times New Roman" w:hAnsi="Times New Roman" w:cs="Times New Roman"/>
          <w:color w:val="auto"/>
          <w:lang w:val="en-US" w:eastAsia="zh-CN"/>
        </w:rPr>
        <w:t>2</w:t>
      </w:r>
      <w:r>
        <w:rPr>
          <w:rFonts w:hint="eastAsia" w:ascii="Times New Roman" w:hAnsi="Times New Roman" w:cs="Times New Roman"/>
          <w:color w:val="auto"/>
          <w:lang w:eastAsia="zh-CN"/>
        </w:rPr>
        <w:t>号）</w:t>
      </w:r>
      <w:r>
        <w:rPr>
          <w:rFonts w:hint="default" w:ascii="Times New Roman" w:hAnsi="Times New Roman" w:cs="Times New Roman"/>
          <w:color w:val="auto"/>
        </w:rPr>
        <w:t>，于2023年3月委托江西赣安安全生产科学技术咨询服务中心承担了尾矿库新一轮延期换证的安全现状评价工作</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并已于2023年4月29日完成了安全现状评价报告</w:t>
      </w:r>
      <w:r>
        <w:rPr>
          <w:rFonts w:hint="default" w:ascii="Times New Roman" w:hAnsi="Times New Roman" w:cs="Times New Roman"/>
          <w:color w:val="auto"/>
        </w:rPr>
        <w:t>。</w:t>
      </w:r>
      <w:r>
        <w:rPr>
          <w:rFonts w:hint="eastAsia" w:ascii="Times New Roman" w:hAnsi="Times New Roman" w:cs="Times New Roman"/>
          <w:color w:val="auto"/>
          <w:lang w:val="en-US" w:eastAsia="zh-CN"/>
        </w:rPr>
        <w:t>2023年5月15日，</w:t>
      </w:r>
      <w:r>
        <w:rPr>
          <w:rFonts w:hint="default" w:ascii="Times New Roman" w:hAnsi="Times New Roman" w:cs="Times New Roman"/>
          <w:color w:val="auto"/>
        </w:rPr>
        <w:t>江西临川鲁金矿业有限公司</w:t>
      </w:r>
      <w:r>
        <w:rPr>
          <w:rFonts w:hint="eastAsia" w:ascii="Times New Roman" w:hAnsi="Times New Roman" w:cs="Times New Roman"/>
          <w:color w:val="auto"/>
          <w:lang w:val="en-US" w:eastAsia="zh-CN"/>
        </w:rPr>
        <w:t>取得了新的安全生产许可证（</w:t>
      </w:r>
      <w:r>
        <w:rPr>
          <w:rFonts w:hint="eastAsia" w:ascii="Times New Roman" w:hAnsi="Times New Roman" w:cs="Times New Roman"/>
          <w:color w:val="auto"/>
          <w:lang w:eastAsia="zh-CN"/>
        </w:rPr>
        <w:t>证书编号为（赣）FM安许证字[20</w:t>
      </w:r>
      <w:r>
        <w:rPr>
          <w:rFonts w:hint="eastAsia" w:ascii="Times New Roman" w:hAnsi="Times New Roman" w:cs="Times New Roman"/>
          <w:color w:val="auto"/>
          <w:lang w:val="en-US" w:eastAsia="zh-CN"/>
        </w:rPr>
        <w:t>23</w:t>
      </w:r>
      <w:r>
        <w:rPr>
          <w:rFonts w:hint="eastAsia" w:ascii="Times New Roman" w:hAnsi="Times New Roman" w:cs="Times New Roman"/>
          <w:color w:val="auto"/>
          <w:lang w:eastAsia="zh-CN"/>
        </w:rPr>
        <w:t>]F00</w:t>
      </w:r>
      <w:r>
        <w:rPr>
          <w:rFonts w:hint="eastAsia" w:ascii="Times New Roman" w:hAnsi="Times New Roman" w:cs="Times New Roman"/>
          <w:color w:val="auto"/>
          <w:lang w:val="en-US" w:eastAsia="zh-CN"/>
        </w:rPr>
        <w:t>3</w:t>
      </w:r>
      <w:r>
        <w:rPr>
          <w:rFonts w:hint="eastAsia" w:ascii="Times New Roman" w:hAnsi="Times New Roman" w:cs="Times New Roman"/>
          <w:color w:val="auto"/>
          <w:lang w:eastAsia="zh-CN"/>
        </w:rPr>
        <w:t>号</w:t>
      </w:r>
      <w:r>
        <w:rPr>
          <w:rFonts w:hint="eastAsia" w:ascii="Times New Roman" w:hAnsi="Times New Roman" w:cs="Times New Roman"/>
          <w:color w:val="auto"/>
          <w:lang w:val="en-US" w:eastAsia="zh-CN"/>
        </w:rPr>
        <w:t>）。但根据《江西省应急管理厅关于第一类非药品类易制毒化学品、非煤矿矿山行政许可事项办理的公告》的要求，尾矿库的安全生产许可，由省本级直接实施。抚州市应急管理局已无尾矿库安全许可证审批权力，故需重新进行安全现状评价工作。</w:t>
      </w:r>
    </w:p>
    <w:p w14:paraId="526EFD12">
      <w:pPr>
        <w:bidi w:val="0"/>
        <w:rPr>
          <w:rFonts w:hint="default" w:ascii="Times New Roman" w:hAnsi="Times New Roman" w:cs="Times New Roman"/>
          <w:color w:val="auto"/>
        </w:rPr>
      </w:pPr>
      <w:r>
        <w:rPr>
          <w:rFonts w:hint="eastAsia" w:ascii="Times New Roman" w:hAnsi="Times New Roman" w:cs="Times New Roman"/>
          <w:color w:val="auto"/>
          <w:lang w:val="en-US" w:eastAsia="zh-CN"/>
        </w:rPr>
        <w:t>2024年9月，我公司已再次组成</w:t>
      </w:r>
      <w:r>
        <w:rPr>
          <w:rFonts w:hint="default" w:ascii="Times New Roman" w:hAnsi="Times New Roman" w:cs="Times New Roman"/>
          <w:color w:val="auto"/>
          <w:lang w:val="en-US" w:eastAsia="zh-CN"/>
        </w:rPr>
        <w:t>评价组</w:t>
      </w:r>
      <w:r>
        <w:rPr>
          <w:rFonts w:hint="eastAsia" w:ascii="Times New Roman" w:hAnsi="Times New Roman" w:cs="Times New Roman"/>
          <w:color w:val="auto"/>
          <w:lang w:val="en-US" w:eastAsia="zh-CN"/>
        </w:rPr>
        <w:t>，并派</w:t>
      </w:r>
      <w:r>
        <w:rPr>
          <w:rFonts w:hint="default" w:ascii="Times New Roman" w:hAnsi="Times New Roman" w:cs="Times New Roman"/>
          <w:color w:val="auto"/>
          <w:lang w:val="en-US" w:eastAsia="zh-CN"/>
        </w:rPr>
        <w:t>相关人员对该公司</w:t>
      </w:r>
      <w:r>
        <w:rPr>
          <w:rFonts w:hint="eastAsia" w:ascii="Times New Roman" w:hAnsi="Times New Roman" w:cs="Times New Roman"/>
          <w:color w:val="auto"/>
          <w:lang w:val="en-US" w:eastAsia="zh-CN"/>
        </w:rPr>
        <w:t>尾矿库</w:t>
      </w:r>
      <w:r>
        <w:rPr>
          <w:rFonts w:hint="default" w:ascii="Times New Roman" w:hAnsi="Times New Roman" w:cs="Times New Roman"/>
          <w:color w:val="auto"/>
          <w:lang w:val="en-US" w:eastAsia="zh-CN"/>
        </w:rPr>
        <w:t>进行现场调研，收集有关法律法规、技术标准、尾矿库设计资料、安全技术与安全管理措施资料、安全生产标准化资料和尾矿库现状资料。根据该尾矿库的筑坝方式、尾矿排放型式、防排洪构筑物的特点和尾矿库的地理环境条件，针对矿山对尾矿库管理体系、制度、措施和技术装备情况的调查分析，定性、定量地分析其尾矿库生产运行过程中存在的危险、有害因素，确定其安全度，对其安全管理状况给予客观的评价，对存在的问题提出合理可行的安全对策措施及建议。在此基础上编制本评价报告，以作为该尾矿库延期换证的依据之一。</w:t>
      </w:r>
    </w:p>
    <w:p w14:paraId="33DB963E">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在此次评价过程中得到江西临川鲁金矿业有限公司领导、安全管理人员和工程技术人员的大力支持、协作，在此表示感谢！</w:t>
      </w:r>
    </w:p>
    <w:p w14:paraId="71BCA631">
      <w:pPr>
        <w:rPr>
          <w:rFonts w:hint="default" w:ascii="Times New Roman" w:hAnsi="Times New Roman" w:cs="Times New Roman"/>
          <w:color w:val="auto"/>
          <w:lang w:val="en-US" w:eastAsia="zh-CN"/>
        </w:rPr>
      </w:pPr>
      <w:bookmarkStart w:id="2" w:name="_Toc8438"/>
      <w:r>
        <w:rPr>
          <w:rFonts w:hint="default" w:ascii="Times New Roman" w:hAnsi="Times New Roman" w:cs="Times New Roman"/>
          <w:color w:val="auto"/>
          <w:lang w:val="en-US" w:eastAsia="zh-CN"/>
        </w:rPr>
        <w:br w:type="page"/>
      </w:r>
    </w:p>
    <w:p w14:paraId="67261937">
      <w:pPr>
        <w:pStyle w:val="3"/>
        <w:bidi w:val="0"/>
        <w:rPr>
          <w:rFonts w:hint="default" w:ascii="Times New Roman" w:hAnsi="Times New Roman" w:eastAsia="黑体" w:cs="Times New Roman"/>
          <w:b/>
          <w:color w:val="auto"/>
          <w:szCs w:val="32"/>
          <w:lang w:val="en-US" w:eastAsia="zh-CN"/>
        </w:rPr>
      </w:pPr>
      <w:bookmarkStart w:id="3" w:name="_Toc15621"/>
      <w:r>
        <w:rPr>
          <w:rFonts w:hint="default" w:ascii="Times New Roman" w:hAnsi="Times New Roman" w:cs="Times New Roman"/>
          <w:color w:val="auto"/>
          <w:lang w:val="en-US" w:eastAsia="zh-CN"/>
        </w:rPr>
        <w:t>目录</w:t>
      </w:r>
      <w:bookmarkEnd w:id="2"/>
      <w:bookmarkEnd w:id="3"/>
    </w:p>
    <w:p w14:paraId="5045B1E5">
      <w:pPr>
        <w:pStyle w:val="13"/>
        <w:tabs>
          <w:tab w:val="right" w:leader="dot" w:pos="9070"/>
        </w:tabs>
      </w:pPr>
      <w:r>
        <w:rPr>
          <w:rFonts w:hint="default" w:ascii="Times New Roman" w:hAnsi="Times New Roman" w:cs="Times New Roman"/>
          <w:color w:val="FF0000"/>
          <w:kern w:val="0"/>
          <w:sz w:val="24"/>
          <w:szCs w:val="24"/>
        </w:rPr>
        <w:fldChar w:fldCharType="begin"/>
      </w:r>
      <w:r>
        <w:rPr>
          <w:rFonts w:hint="default" w:ascii="Times New Roman" w:hAnsi="Times New Roman" w:cs="Times New Roman"/>
          <w:color w:val="FF0000"/>
          <w:kern w:val="0"/>
          <w:sz w:val="24"/>
          <w:szCs w:val="24"/>
        </w:rPr>
        <w:instrText xml:space="preserve">TOC \o "1-3" \h \u </w:instrText>
      </w:r>
      <w:r>
        <w:rPr>
          <w:rFonts w:hint="default" w:ascii="Times New Roman" w:hAnsi="Times New Roman" w:cs="Times New Roman"/>
          <w:color w:val="FF0000"/>
          <w:kern w:val="0"/>
          <w:sz w:val="24"/>
          <w:szCs w:val="24"/>
        </w:rPr>
        <w:fldChar w:fldCharType="separate"/>
      </w: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_Toc14972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前言</w:t>
      </w:r>
      <w:r>
        <w:tab/>
      </w:r>
      <w:r>
        <w:fldChar w:fldCharType="begin"/>
      </w:r>
      <w:r>
        <w:instrText xml:space="preserve"> PAGEREF _Toc14972 \h </w:instrText>
      </w:r>
      <w:r>
        <w:fldChar w:fldCharType="separate"/>
      </w:r>
      <w:r>
        <w:t>V</w:t>
      </w:r>
      <w:r>
        <w:fldChar w:fldCharType="end"/>
      </w:r>
      <w:r>
        <w:rPr>
          <w:rFonts w:hint="default" w:ascii="Times New Roman" w:hAnsi="Times New Roman" w:cs="Times New Roman"/>
          <w:color w:val="FF0000"/>
          <w:kern w:val="0"/>
          <w:szCs w:val="24"/>
        </w:rPr>
        <w:fldChar w:fldCharType="end"/>
      </w:r>
    </w:p>
    <w:p w14:paraId="64264D86">
      <w:pPr>
        <w:pStyle w:val="13"/>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_Toc15621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目录</w:t>
      </w:r>
      <w:r>
        <w:tab/>
      </w:r>
      <w:r>
        <w:fldChar w:fldCharType="begin"/>
      </w:r>
      <w:r>
        <w:instrText xml:space="preserve"> PAGEREF _Toc15621 \h </w:instrText>
      </w:r>
      <w:r>
        <w:fldChar w:fldCharType="separate"/>
      </w:r>
      <w:r>
        <w:t>VII</w:t>
      </w:r>
      <w:r>
        <w:fldChar w:fldCharType="end"/>
      </w:r>
      <w:r>
        <w:rPr>
          <w:rFonts w:hint="default" w:ascii="Times New Roman" w:hAnsi="Times New Roman" w:cs="Times New Roman"/>
          <w:color w:val="FF0000"/>
          <w:kern w:val="0"/>
          <w:szCs w:val="24"/>
        </w:rPr>
        <w:fldChar w:fldCharType="end"/>
      </w:r>
    </w:p>
    <w:p w14:paraId="051E9389">
      <w:pPr>
        <w:pStyle w:val="13"/>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_Toc3945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1.评价概述</w:t>
      </w:r>
      <w:r>
        <w:tab/>
      </w:r>
      <w:r>
        <w:fldChar w:fldCharType="begin"/>
      </w:r>
      <w:r>
        <w:instrText xml:space="preserve"> PAGEREF _Toc3945 \h </w:instrText>
      </w:r>
      <w:r>
        <w:fldChar w:fldCharType="separate"/>
      </w:r>
      <w:r>
        <w:t>1</w:t>
      </w:r>
      <w:r>
        <w:fldChar w:fldCharType="end"/>
      </w:r>
      <w:r>
        <w:rPr>
          <w:rFonts w:hint="default" w:ascii="Times New Roman" w:hAnsi="Times New Roman" w:cs="Times New Roman"/>
          <w:color w:val="FF0000"/>
          <w:kern w:val="0"/>
          <w:szCs w:val="24"/>
        </w:rPr>
        <w:fldChar w:fldCharType="end"/>
      </w:r>
    </w:p>
    <w:p w14:paraId="7AD0684D">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_Toc16628 </w:instrText>
      </w:r>
      <w:r>
        <w:rPr>
          <w:rFonts w:hint="default" w:ascii="Times New Roman" w:hAnsi="Times New Roman" w:cs="Times New Roman"/>
          <w:kern w:val="0"/>
          <w:szCs w:val="24"/>
        </w:rPr>
        <w:fldChar w:fldCharType="separate"/>
      </w:r>
      <w:r>
        <w:rPr>
          <w:rFonts w:hint="default" w:ascii="Times New Roman" w:hAnsi="Times New Roman" w:cs="Times New Roman"/>
        </w:rPr>
        <w:t>1.1评价目的和</w:t>
      </w:r>
      <w:r>
        <w:rPr>
          <w:rFonts w:hint="default" w:ascii="Times New Roman" w:hAnsi="Times New Roman" w:cs="Times New Roman"/>
          <w:lang w:val="en-US" w:eastAsia="zh-CN"/>
        </w:rPr>
        <w:t>内容</w:t>
      </w:r>
      <w:r>
        <w:tab/>
      </w:r>
      <w:r>
        <w:fldChar w:fldCharType="begin"/>
      </w:r>
      <w:r>
        <w:instrText xml:space="preserve"> PAGEREF _Toc16628 \h </w:instrText>
      </w:r>
      <w:r>
        <w:fldChar w:fldCharType="separate"/>
      </w:r>
      <w:r>
        <w:t>1</w:t>
      </w:r>
      <w:r>
        <w:fldChar w:fldCharType="end"/>
      </w:r>
      <w:r>
        <w:rPr>
          <w:rFonts w:hint="default" w:ascii="Times New Roman" w:hAnsi="Times New Roman" w:cs="Times New Roman"/>
          <w:color w:val="FF0000"/>
          <w:kern w:val="0"/>
          <w:szCs w:val="24"/>
        </w:rPr>
        <w:fldChar w:fldCharType="end"/>
      </w:r>
    </w:p>
    <w:p w14:paraId="2802BE03">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_Toc20001 </w:instrText>
      </w:r>
      <w:r>
        <w:rPr>
          <w:rFonts w:hint="default" w:ascii="Times New Roman" w:hAnsi="Times New Roman" w:cs="Times New Roman"/>
          <w:kern w:val="0"/>
          <w:szCs w:val="24"/>
        </w:rPr>
        <w:fldChar w:fldCharType="separate"/>
      </w:r>
      <w:r>
        <w:rPr>
          <w:rFonts w:hint="default" w:ascii="Times New Roman" w:hAnsi="Times New Roman" w:cs="Times New Roman"/>
        </w:rPr>
        <w:t>1.1.1评价目的</w:t>
      </w:r>
      <w:r>
        <w:tab/>
      </w:r>
      <w:r>
        <w:fldChar w:fldCharType="begin"/>
      </w:r>
      <w:r>
        <w:instrText xml:space="preserve"> PAGEREF _Toc20001 \h </w:instrText>
      </w:r>
      <w:r>
        <w:fldChar w:fldCharType="separate"/>
      </w:r>
      <w:r>
        <w:t>1</w:t>
      </w:r>
      <w:r>
        <w:fldChar w:fldCharType="end"/>
      </w:r>
      <w:r>
        <w:rPr>
          <w:rFonts w:hint="default" w:ascii="Times New Roman" w:hAnsi="Times New Roman" w:cs="Times New Roman"/>
          <w:color w:val="FF0000"/>
          <w:kern w:val="0"/>
          <w:szCs w:val="24"/>
        </w:rPr>
        <w:fldChar w:fldCharType="end"/>
      </w:r>
    </w:p>
    <w:p w14:paraId="6F61F45D">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_Toc11617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1.1.2评价内容</w:t>
      </w:r>
      <w:r>
        <w:tab/>
      </w:r>
      <w:r>
        <w:fldChar w:fldCharType="begin"/>
      </w:r>
      <w:r>
        <w:instrText xml:space="preserve"> PAGEREF _Toc11617 \h </w:instrText>
      </w:r>
      <w:r>
        <w:fldChar w:fldCharType="separate"/>
      </w:r>
      <w:r>
        <w:t>1</w:t>
      </w:r>
      <w:r>
        <w:fldChar w:fldCharType="end"/>
      </w:r>
      <w:r>
        <w:rPr>
          <w:rFonts w:hint="default" w:ascii="Times New Roman" w:hAnsi="Times New Roman" w:cs="Times New Roman"/>
          <w:color w:val="FF0000"/>
          <w:kern w:val="0"/>
          <w:szCs w:val="24"/>
        </w:rPr>
        <w:fldChar w:fldCharType="end"/>
      </w:r>
    </w:p>
    <w:p w14:paraId="4B8A4A6F">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_Toc30393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1.2评价依据</w:t>
      </w:r>
      <w:r>
        <w:tab/>
      </w:r>
      <w:r>
        <w:fldChar w:fldCharType="begin"/>
      </w:r>
      <w:r>
        <w:instrText xml:space="preserve"> PAGEREF _Toc30393 \h </w:instrText>
      </w:r>
      <w:r>
        <w:fldChar w:fldCharType="separate"/>
      </w:r>
      <w:r>
        <w:t>2</w:t>
      </w:r>
      <w:r>
        <w:fldChar w:fldCharType="end"/>
      </w:r>
      <w:r>
        <w:rPr>
          <w:rFonts w:hint="default" w:ascii="Times New Roman" w:hAnsi="Times New Roman" w:cs="Times New Roman"/>
          <w:color w:val="FF0000"/>
          <w:kern w:val="0"/>
          <w:szCs w:val="24"/>
        </w:rPr>
        <w:fldChar w:fldCharType="end"/>
      </w:r>
    </w:p>
    <w:p w14:paraId="3C5AA4E6">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_Toc13080 </w:instrText>
      </w:r>
      <w:r>
        <w:rPr>
          <w:rFonts w:hint="default" w:ascii="Times New Roman" w:hAnsi="Times New Roman" w:cs="Times New Roman"/>
          <w:kern w:val="0"/>
          <w:szCs w:val="24"/>
        </w:rPr>
        <w:fldChar w:fldCharType="separate"/>
      </w:r>
      <w:r>
        <w:rPr>
          <w:rFonts w:hint="default" w:ascii="Times New Roman" w:hAnsi="Times New Roman" w:cs="Times New Roman"/>
        </w:rPr>
        <w:t>1.2.1</w:t>
      </w:r>
      <w:r>
        <w:rPr>
          <w:rFonts w:hint="default" w:ascii="Times New Roman" w:hAnsi="Times New Roman" w:cs="Times New Roman"/>
          <w:lang w:val="en-US" w:eastAsia="zh-CN"/>
        </w:rPr>
        <w:t xml:space="preserve"> </w:t>
      </w:r>
      <w:r>
        <w:rPr>
          <w:rFonts w:hint="default" w:ascii="Times New Roman" w:hAnsi="Times New Roman" w:cs="Times New Roman"/>
        </w:rPr>
        <w:t>法律</w:t>
      </w:r>
      <w:r>
        <w:tab/>
      </w:r>
      <w:r>
        <w:fldChar w:fldCharType="begin"/>
      </w:r>
      <w:r>
        <w:instrText xml:space="preserve"> PAGEREF _Toc13080 \h </w:instrText>
      </w:r>
      <w:r>
        <w:fldChar w:fldCharType="separate"/>
      </w:r>
      <w:r>
        <w:t>2</w:t>
      </w:r>
      <w:r>
        <w:fldChar w:fldCharType="end"/>
      </w:r>
      <w:r>
        <w:rPr>
          <w:rFonts w:hint="default" w:ascii="Times New Roman" w:hAnsi="Times New Roman" w:cs="Times New Roman"/>
          <w:color w:val="FF0000"/>
          <w:kern w:val="0"/>
          <w:szCs w:val="24"/>
        </w:rPr>
        <w:fldChar w:fldCharType="end"/>
      </w:r>
    </w:p>
    <w:p w14:paraId="33CDFE12">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_Toc2993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1.2.2行政法规</w:t>
      </w:r>
      <w:r>
        <w:tab/>
      </w:r>
      <w:r>
        <w:fldChar w:fldCharType="begin"/>
      </w:r>
      <w:r>
        <w:instrText xml:space="preserve"> PAGEREF _Toc2993 \h </w:instrText>
      </w:r>
      <w:r>
        <w:fldChar w:fldCharType="separate"/>
      </w:r>
      <w:r>
        <w:t>3</w:t>
      </w:r>
      <w:r>
        <w:fldChar w:fldCharType="end"/>
      </w:r>
      <w:r>
        <w:rPr>
          <w:rFonts w:hint="default" w:ascii="Times New Roman" w:hAnsi="Times New Roman" w:cs="Times New Roman"/>
          <w:color w:val="FF0000"/>
          <w:kern w:val="0"/>
          <w:szCs w:val="24"/>
        </w:rPr>
        <w:fldChar w:fldCharType="end"/>
      </w:r>
    </w:p>
    <w:p w14:paraId="72C0C927">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_Toc5113 </w:instrText>
      </w:r>
      <w:r>
        <w:rPr>
          <w:rFonts w:hint="default" w:ascii="Times New Roman" w:hAnsi="Times New Roman" w:cs="Times New Roman"/>
          <w:kern w:val="0"/>
          <w:szCs w:val="24"/>
        </w:rPr>
        <w:fldChar w:fldCharType="separate"/>
      </w:r>
      <w:r>
        <w:rPr>
          <w:rFonts w:hint="default"/>
        </w:rPr>
        <w:t>1.2.3地方性法规</w:t>
      </w:r>
      <w:r>
        <w:tab/>
      </w:r>
      <w:r>
        <w:fldChar w:fldCharType="begin"/>
      </w:r>
      <w:r>
        <w:instrText xml:space="preserve"> PAGEREF _Toc5113 \h </w:instrText>
      </w:r>
      <w:r>
        <w:fldChar w:fldCharType="separate"/>
      </w:r>
      <w:r>
        <w:t>4</w:t>
      </w:r>
      <w:r>
        <w:fldChar w:fldCharType="end"/>
      </w:r>
      <w:r>
        <w:rPr>
          <w:rFonts w:hint="default" w:ascii="Times New Roman" w:hAnsi="Times New Roman" w:cs="Times New Roman"/>
          <w:color w:val="FF0000"/>
          <w:kern w:val="0"/>
          <w:szCs w:val="24"/>
        </w:rPr>
        <w:fldChar w:fldCharType="end"/>
      </w:r>
    </w:p>
    <w:p w14:paraId="01729BA4">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_Toc21342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1.2.</w:t>
      </w:r>
      <w:r>
        <w:rPr>
          <w:rFonts w:hint="eastAsia" w:cs="Times New Roman"/>
          <w:lang w:val="en-US" w:eastAsia="zh-CN"/>
        </w:rPr>
        <w:t>4</w:t>
      </w:r>
      <w:r>
        <w:rPr>
          <w:rFonts w:hint="default" w:ascii="Times New Roman" w:hAnsi="Times New Roman" w:cs="Times New Roman"/>
          <w:lang w:val="en-US" w:eastAsia="zh-CN"/>
        </w:rPr>
        <w:t>部门规章</w:t>
      </w:r>
      <w:r>
        <w:tab/>
      </w:r>
      <w:r>
        <w:fldChar w:fldCharType="begin"/>
      </w:r>
      <w:r>
        <w:instrText xml:space="preserve"> PAGEREF _Toc21342 \h </w:instrText>
      </w:r>
      <w:r>
        <w:fldChar w:fldCharType="separate"/>
      </w:r>
      <w:r>
        <w:t>4</w:t>
      </w:r>
      <w:r>
        <w:fldChar w:fldCharType="end"/>
      </w:r>
      <w:r>
        <w:rPr>
          <w:rFonts w:hint="default" w:ascii="Times New Roman" w:hAnsi="Times New Roman" w:cs="Times New Roman"/>
          <w:color w:val="FF0000"/>
          <w:kern w:val="0"/>
          <w:szCs w:val="24"/>
        </w:rPr>
        <w:fldChar w:fldCharType="end"/>
      </w:r>
    </w:p>
    <w:p w14:paraId="43DF01C8">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_Toc8487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1.2.5规范性文件</w:t>
      </w:r>
      <w:r>
        <w:tab/>
      </w:r>
      <w:r>
        <w:fldChar w:fldCharType="begin"/>
      </w:r>
      <w:r>
        <w:instrText xml:space="preserve"> PAGEREF _Toc8487 \h </w:instrText>
      </w:r>
      <w:r>
        <w:fldChar w:fldCharType="separate"/>
      </w:r>
      <w:r>
        <w:t>5</w:t>
      </w:r>
      <w:r>
        <w:fldChar w:fldCharType="end"/>
      </w:r>
      <w:r>
        <w:rPr>
          <w:rFonts w:hint="default" w:ascii="Times New Roman" w:hAnsi="Times New Roman" w:cs="Times New Roman"/>
          <w:color w:val="FF0000"/>
          <w:kern w:val="0"/>
          <w:szCs w:val="24"/>
        </w:rPr>
        <w:fldChar w:fldCharType="end"/>
      </w:r>
    </w:p>
    <w:p w14:paraId="0D44AE4E">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_Toc5587 </w:instrText>
      </w:r>
      <w:r>
        <w:rPr>
          <w:rFonts w:hint="default" w:ascii="Times New Roman" w:hAnsi="Times New Roman" w:cs="Times New Roman"/>
          <w:kern w:val="0"/>
          <w:szCs w:val="24"/>
        </w:rPr>
        <w:fldChar w:fldCharType="separate"/>
      </w:r>
      <w:r>
        <w:rPr>
          <w:rFonts w:hint="default" w:ascii="Times New Roman" w:hAnsi="Times New Roman" w:cs="Times New Roman"/>
        </w:rPr>
        <w:t>1.</w:t>
      </w:r>
      <w:r>
        <w:rPr>
          <w:rFonts w:hint="default" w:ascii="Times New Roman" w:hAnsi="Times New Roman" w:cs="Times New Roman"/>
          <w:lang w:val="en-US" w:eastAsia="zh-CN"/>
        </w:rPr>
        <w:t>2.6</w:t>
      </w:r>
      <w:r>
        <w:rPr>
          <w:rFonts w:hint="default" w:ascii="Times New Roman" w:hAnsi="Times New Roman" w:cs="Times New Roman"/>
        </w:rPr>
        <w:t>标准、规范</w:t>
      </w:r>
      <w:r>
        <w:tab/>
      </w:r>
      <w:r>
        <w:fldChar w:fldCharType="begin"/>
      </w:r>
      <w:r>
        <w:instrText xml:space="preserve"> PAGEREF _Toc5587 \h </w:instrText>
      </w:r>
      <w:r>
        <w:fldChar w:fldCharType="separate"/>
      </w:r>
      <w:r>
        <w:t>8</w:t>
      </w:r>
      <w:r>
        <w:fldChar w:fldCharType="end"/>
      </w:r>
      <w:r>
        <w:rPr>
          <w:rFonts w:hint="default" w:ascii="Times New Roman" w:hAnsi="Times New Roman" w:cs="Times New Roman"/>
          <w:color w:val="FF0000"/>
          <w:kern w:val="0"/>
          <w:szCs w:val="24"/>
        </w:rPr>
        <w:fldChar w:fldCharType="end"/>
      </w:r>
    </w:p>
    <w:p w14:paraId="2BF574F5">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_Toc22500 </w:instrText>
      </w:r>
      <w:r>
        <w:rPr>
          <w:rFonts w:hint="default" w:ascii="Times New Roman" w:hAnsi="Times New Roman" w:cs="Times New Roman"/>
          <w:kern w:val="0"/>
          <w:szCs w:val="24"/>
        </w:rPr>
        <w:fldChar w:fldCharType="separate"/>
      </w:r>
      <w:r>
        <w:rPr>
          <w:rFonts w:hint="default" w:ascii="Times New Roman" w:hAnsi="Times New Roman" w:cs="Times New Roman"/>
        </w:rPr>
        <w:t>1.2.</w:t>
      </w:r>
      <w:r>
        <w:rPr>
          <w:rFonts w:hint="default" w:ascii="Times New Roman" w:hAnsi="Times New Roman" w:cs="Times New Roman"/>
          <w:lang w:val="en-US" w:eastAsia="zh-CN"/>
        </w:rPr>
        <w:t>7</w:t>
      </w:r>
      <w:r>
        <w:rPr>
          <w:rFonts w:hint="default" w:ascii="Times New Roman" w:hAnsi="Times New Roman" w:cs="Times New Roman"/>
        </w:rPr>
        <w:t>其他依据和主要参考资料</w:t>
      </w:r>
      <w:r>
        <w:tab/>
      </w:r>
      <w:r>
        <w:fldChar w:fldCharType="begin"/>
      </w:r>
      <w:r>
        <w:instrText xml:space="preserve"> PAGEREF _Toc22500 \h </w:instrText>
      </w:r>
      <w:r>
        <w:fldChar w:fldCharType="separate"/>
      </w:r>
      <w:r>
        <w:t>9</w:t>
      </w:r>
      <w:r>
        <w:fldChar w:fldCharType="end"/>
      </w:r>
      <w:r>
        <w:rPr>
          <w:rFonts w:hint="default" w:ascii="Times New Roman" w:hAnsi="Times New Roman" w:cs="Times New Roman"/>
          <w:color w:val="FF0000"/>
          <w:kern w:val="0"/>
          <w:szCs w:val="24"/>
        </w:rPr>
        <w:fldChar w:fldCharType="end"/>
      </w:r>
    </w:p>
    <w:p w14:paraId="4A0AD265">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_Toc17122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1.3评价对象、范围</w:t>
      </w:r>
      <w:r>
        <w:tab/>
      </w:r>
      <w:r>
        <w:fldChar w:fldCharType="begin"/>
      </w:r>
      <w:r>
        <w:instrText xml:space="preserve"> PAGEREF _Toc17122 \h </w:instrText>
      </w:r>
      <w:r>
        <w:fldChar w:fldCharType="separate"/>
      </w:r>
      <w:r>
        <w:t>10</w:t>
      </w:r>
      <w:r>
        <w:fldChar w:fldCharType="end"/>
      </w:r>
      <w:r>
        <w:rPr>
          <w:rFonts w:hint="default" w:ascii="Times New Roman" w:hAnsi="Times New Roman" w:cs="Times New Roman"/>
          <w:color w:val="FF0000"/>
          <w:kern w:val="0"/>
          <w:szCs w:val="24"/>
        </w:rPr>
        <w:fldChar w:fldCharType="end"/>
      </w:r>
    </w:p>
    <w:p w14:paraId="303052B9">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_Toc31242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1.4评价程序</w:t>
      </w:r>
      <w:r>
        <w:tab/>
      </w:r>
      <w:r>
        <w:fldChar w:fldCharType="begin"/>
      </w:r>
      <w:r>
        <w:instrText xml:space="preserve"> PAGEREF _Toc31242 \h </w:instrText>
      </w:r>
      <w:r>
        <w:fldChar w:fldCharType="separate"/>
      </w:r>
      <w:r>
        <w:t>10</w:t>
      </w:r>
      <w:r>
        <w:fldChar w:fldCharType="end"/>
      </w:r>
      <w:r>
        <w:rPr>
          <w:rFonts w:hint="default" w:ascii="Times New Roman" w:hAnsi="Times New Roman" w:cs="Times New Roman"/>
          <w:color w:val="FF0000"/>
          <w:kern w:val="0"/>
          <w:szCs w:val="24"/>
        </w:rPr>
        <w:fldChar w:fldCharType="end"/>
      </w:r>
    </w:p>
    <w:p w14:paraId="792D6134">
      <w:pPr>
        <w:pStyle w:val="13"/>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_Toc2331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2尾矿库概况</w:t>
      </w:r>
      <w:r>
        <w:tab/>
      </w:r>
      <w:r>
        <w:fldChar w:fldCharType="begin"/>
      </w:r>
      <w:r>
        <w:instrText xml:space="preserve"> PAGEREF _Toc2331 \h </w:instrText>
      </w:r>
      <w:r>
        <w:fldChar w:fldCharType="separate"/>
      </w:r>
      <w:r>
        <w:t>11</w:t>
      </w:r>
      <w:r>
        <w:fldChar w:fldCharType="end"/>
      </w:r>
      <w:r>
        <w:rPr>
          <w:rFonts w:hint="default" w:ascii="Times New Roman" w:hAnsi="Times New Roman" w:cs="Times New Roman"/>
          <w:color w:val="FF0000"/>
          <w:kern w:val="0"/>
          <w:szCs w:val="24"/>
        </w:rPr>
        <w:fldChar w:fldCharType="end"/>
      </w:r>
    </w:p>
    <w:p w14:paraId="7AF56F00">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_Toc10108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2.1建设单位运行情况</w:t>
      </w:r>
      <w:r>
        <w:tab/>
      </w:r>
      <w:r>
        <w:fldChar w:fldCharType="begin"/>
      </w:r>
      <w:r>
        <w:instrText xml:space="preserve"> PAGEREF _Toc10108 \h </w:instrText>
      </w:r>
      <w:r>
        <w:fldChar w:fldCharType="separate"/>
      </w:r>
      <w:r>
        <w:t>11</w:t>
      </w:r>
      <w:r>
        <w:fldChar w:fldCharType="end"/>
      </w:r>
      <w:r>
        <w:rPr>
          <w:rFonts w:hint="default" w:ascii="Times New Roman" w:hAnsi="Times New Roman" w:cs="Times New Roman"/>
          <w:color w:val="FF0000"/>
          <w:kern w:val="0"/>
          <w:szCs w:val="24"/>
        </w:rPr>
        <w:fldChar w:fldCharType="end"/>
      </w:r>
    </w:p>
    <w:p w14:paraId="4687ACC1">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_Toc28167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2.1.1企业简介</w:t>
      </w:r>
      <w:r>
        <w:tab/>
      </w:r>
      <w:r>
        <w:fldChar w:fldCharType="begin"/>
      </w:r>
      <w:r>
        <w:instrText xml:space="preserve"> PAGEREF _Toc28167 \h </w:instrText>
      </w:r>
      <w:r>
        <w:fldChar w:fldCharType="separate"/>
      </w:r>
      <w:r>
        <w:t>11</w:t>
      </w:r>
      <w:r>
        <w:fldChar w:fldCharType="end"/>
      </w:r>
      <w:r>
        <w:rPr>
          <w:rFonts w:hint="default" w:ascii="Times New Roman" w:hAnsi="Times New Roman" w:cs="Times New Roman"/>
          <w:color w:val="FF0000"/>
          <w:kern w:val="0"/>
          <w:szCs w:val="24"/>
        </w:rPr>
        <w:fldChar w:fldCharType="end"/>
      </w:r>
    </w:p>
    <w:p w14:paraId="2DDAE72D">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_Toc26640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2.1.2尾矿库简介</w:t>
      </w:r>
      <w:r>
        <w:tab/>
      </w:r>
      <w:r>
        <w:fldChar w:fldCharType="begin"/>
      </w:r>
      <w:r>
        <w:instrText xml:space="preserve"> PAGEREF _Toc26640 \h </w:instrText>
      </w:r>
      <w:r>
        <w:fldChar w:fldCharType="separate"/>
      </w:r>
      <w:r>
        <w:t>11</w:t>
      </w:r>
      <w:r>
        <w:fldChar w:fldCharType="end"/>
      </w:r>
      <w:r>
        <w:rPr>
          <w:rFonts w:hint="default" w:ascii="Times New Roman" w:hAnsi="Times New Roman" w:cs="Times New Roman"/>
          <w:color w:val="FF0000"/>
          <w:kern w:val="0"/>
          <w:szCs w:val="24"/>
        </w:rPr>
        <w:fldChar w:fldCharType="end"/>
      </w:r>
    </w:p>
    <w:p w14:paraId="1138C255">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_Toc14568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2.1.3地理位置及交通</w:t>
      </w:r>
      <w:r>
        <w:tab/>
      </w:r>
      <w:r>
        <w:fldChar w:fldCharType="begin"/>
      </w:r>
      <w:r>
        <w:instrText xml:space="preserve"> PAGEREF _Toc14568 \h </w:instrText>
      </w:r>
      <w:r>
        <w:fldChar w:fldCharType="separate"/>
      </w:r>
      <w:r>
        <w:t>12</w:t>
      </w:r>
      <w:r>
        <w:fldChar w:fldCharType="end"/>
      </w:r>
      <w:r>
        <w:rPr>
          <w:rFonts w:hint="default" w:ascii="Times New Roman" w:hAnsi="Times New Roman" w:cs="Times New Roman"/>
          <w:color w:val="FF0000"/>
          <w:kern w:val="0"/>
          <w:szCs w:val="24"/>
        </w:rPr>
        <w:fldChar w:fldCharType="end"/>
      </w:r>
    </w:p>
    <w:p w14:paraId="200E5D3E">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_Toc20917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2.2周边环境</w:t>
      </w:r>
      <w:r>
        <w:tab/>
      </w:r>
      <w:r>
        <w:fldChar w:fldCharType="begin"/>
      </w:r>
      <w:r>
        <w:instrText xml:space="preserve"> PAGEREF _Toc20917 \h </w:instrText>
      </w:r>
      <w:r>
        <w:fldChar w:fldCharType="separate"/>
      </w:r>
      <w:r>
        <w:t>13</w:t>
      </w:r>
      <w:r>
        <w:fldChar w:fldCharType="end"/>
      </w:r>
      <w:r>
        <w:rPr>
          <w:rFonts w:hint="default" w:ascii="Times New Roman" w:hAnsi="Times New Roman" w:cs="Times New Roman"/>
          <w:color w:val="FF0000"/>
          <w:kern w:val="0"/>
          <w:szCs w:val="24"/>
        </w:rPr>
        <w:fldChar w:fldCharType="end"/>
      </w:r>
    </w:p>
    <w:p w14:paraId="12D90852">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_Toc19651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2.3自然条件</w:t>
      </w:r>
      <w:r>
        <w:tab/>
      </w:r>
      <w:r>
        <w:fldChar w:fldCharType="begin"/>
      </w:r>
      <w:r>
        <w:instrText xml:space="preserve"> PAGEREF _Toc19651 \h </w:instrText>
      </w:r>
      <w:r>
        <w:fldChar w:fldCharType="separate"/>
      </w:r>
      <w:r>
        <w:t>14</w:t>
      </w:r>
      <w:r>
        <w:fldChar w:fldCharType="end"/>
      </w:r>
      <w:r>
        <w:rPr>
          <w:rFonts w:hint="default" w:ascii="Times New Roman" w:hAnsi="Times New Roman" w:cs="Times New Roman"/>
          <w:color w:val="FF0000"/>
          <w:kern w:val="0"/>
          <w:szCs w:val="24"/>
        </w:rPr>
        <w:fldChar w:fldCharType="end"/>
      </w:r>
    </w:p>
    <w:p w14:paraId="0C88BE38">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_Toc5350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2.3.1自然条件</w:t>
      </w:r>
      <w:r>
        <w:tab/>
      </w:r>
      <w:r>
        <w:fldChar w:fldCharType="begin"/>
      </w:r>
      <w:r>
        <w:instrText xml:space="preserve"> PAGEREF _Toc5350 \h </w:instrText>
      </w:r>
      <w:r>
        <w:fldChar w:fldCharType="separate"/>
      </w:r>
      <w:r>
        <w:t>14</w:t>
      </w:r>
      <w:r>
        <w:fldChar w:fldCharType="end"/>
      </w:r>
      <w:r>
        <w:rPr>
          <w:rFonts w:hint="default" w:ascii="Times New Roman" w:hAnsi="Times New Roman" w:cs="Times New Roman"/>
          <w:color w:val="FF0000"/>
          <w:kern w:val="0"/>
          <w:szCs w:val="24"/>
        </w:rPr>
        <w:fldChar w:fldCharType="end"/>
      </w:r>
    </w:p>
    <w:p w14:paraId="33013B6E">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_Toc13192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2.4工程地质条件</w:t>
      </w:r>
      <w:r>
        <w:tab/>
      </w:r>
      <w:r>
        <w:fldChar w:fldCharType="begin"/>
      </w:r>
      <w:r>
        <w:instrText xml:space="preserve"> PAGEREF _Toc13192 \h </w:instrText>
      </w:r>
      <w:r>
        <w:fldChar w:fldCharType="separate"/>
      </w:r>
      <w:r>
        <w:t>15</w:t>
      </w:r>
      <w:r>
        <w:fldChar w:fldCharType="end"/>
      </w:r>
      <w:r>
        <w:rPr>
          <w:rFonts w:hint="default" w:ascii="Times New Roman" w:hAnsi="Times New Roman" w:cs="Times New Roman"/>
          <w:color w:val="FF0000"/>
          <w:kern w:val="0"/>
          <w:szCs w:val="24"/>
        </w:rPr>
        <w:fldChar w:fldCharType="end"/>
      </w:r>
    </w:p>
    <w:p w14:paraId="6D329239">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_Toc18862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2.4.1地形、地貌</w:t>
      </w:r>
      <w:r>
        <w:tab/>
      </w:r>
      <w:r>
        <w:fldChar w:fldCharType="begin"/>
      </w:r>
      <w:r>
        <w:instrText xml:space="preserve"> PAGEREF _Toc18862 \h </w:instrText>
      </w:r>
      <w:r>
        <w:fldChar w:fldCharType="separate"/>
      </w:r>
      <w:r>
        <w:t>15</w:t>
      </w:r>
      <w:r>
        <w:fldChar w:fldCharType="end"/>
      </w:r>
      <w:r>
        <w:rPr>
          <w:rFonts w:hint="default" w:ascii="Times New Roman" w:hAnsi="Times New Roman" w:cs="Times New Roman"/>
          <w:color w:val="FF0000"/>
          <w:kern w:val="0"/>
          <w:szCs w:val="24"/>
        </w:rPr>
        <w:fldChar w:fldCharType="end"/>
      </w:r>
    </w:p>
    <w:p w14:paraId="3C88C876">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_Toc27529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4.2</w:t>
      </w:r>
      <w:r>
        <w:rPr>
          <w:rFonts w:hint="default"/>
          <w:lang w:val="en-US" w:eastAsia="zh-CN"/>
        </w:rPr>
        <w:t>地质概况</w:t>
      </w:r>
      <w:r>
        <w:tab/>
      </w:r>
      <w:r>
        <w:fldChar w:fldCharType="begin"/>
      </w:r>
      <w:r>
        <w:instrText xml:space="preserve"> PAGEREF _Toc27529 \h </w:instrText>
      </w:r>
      <w:r>
        <w:fldChar w:fldCharType="separate"/>
      </w:r>
      <w:r>
        <w:t>15</w:t>
      </w:r>
      <w:r>
        <w:fldChar w:fldCharType="end"/>
      </w:r>
      <w:r>
        <w:rPr>
          <w:rFonts w:hint="default" w:ascii="Times New Roman" w:hAnsi="Times New Roman" w:cs="Times New Roman"/>
          <w:color w:val="FF0000"/>
          <w:kern w:val="0"/>
          <w:szCs w:val="24"/>
        </w:rPr>
        <w:fldChar w:fldCharType="end"/>
      </w:r>
    </w:p>
    <w:p w14:paraId="01C231CB">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_Toc27076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2.5尾矿库现状</w:t>
      </w:r>
      <w:r>
        <w:tab/>
      </w:r>
      <w:r>
        <w:fldChar w:fldCharType="begin"/>
      </w:r>
      <w:r>
        <w:instrText xml:space="preserve"> PAGEREF _Toc27076 \h </w:instrText>
      </w:r>
      <w:r>
        <w:fldChar w:fldCharType="separate"/>
      </w:r>
      <w:r>
        <w:t>18</w:t>
      </w:r>
      <w:r>
        <w:fldChar w:fldCharType="end"/>
      </w:r>
      <w:r>
        <w:rPr>
          <w:rFonts w:hint="default" w:ascii="Times New Roman" w:hAnsi="Times New Roman" w:cs="Times New Roman"/>
          <w:color w:val="FF0000"/>
          <w:kern w:val="0"/>
          <w:szCs w:val="24"/>
        </w:rPr>
        <w:fldChar w:fldCharType="end"/>
      </w:r>
    </w:p>
    <w:p w14:paraId="72A2EC46">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_Toc20899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2.5.1库容、等别及防洪标准</w:t>
      </w:r>
      <w:r>
        <w:tab/>
      </w:r>
      <w:r>
        <w:fldChar w:fldCharType="begin"/>
      </w:r>
      <w:r>
        <w:instrText xml:space="preserve"> PAGEREF _Toc20899 \h </w:instrText>
      </w:r>
      <w:r>
        <w:fldChar w:fldCharType="separate"/>
      </w:r>
      <w:r>
        <w:t>18</w:t>
      </w:r>
      <w:r>
        <w:fldChar w:fldCharType="end"/>
      </w:r>
      <w:r>
        <w:rPr>
          <w:rFonts w:hint="default" w:ascii="Times New Roman" w:hAnsi="Times New Roman" w:cs="Times New Roman"/>
          <w:color w:val="FF0000"/>
          <w:kern w:val="0"/>
          <w:szCs w:val="24"/>
        </w:rPr>
        <w:fldChar w:fldCharType="end"/>
      </w:r>
    </w:p>
    <w:p w14:paraId="71FFCDF5">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_Toc2182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2.5.2</w:t>
      </w:r>
      <w:r>
        <w:rPr>
          <w:rFonts w:hint="eastAsia" w:cs="Times New Roman"/>
          <w:lang w:val="en-US" w:eastAsia="zh-CN"/>
        </w:rPr>
        <w:t>尾矿</w:t>
      </w:r>
      <w:r>
        <w:rPr>
          <w:rFonts w:hint="default" w:ascii="Times New Roman" w:hAnsi="Times New Roman" w:cs="Times New Roman"/>
          <w:lang w:val="en-US" w:eastAsia="zh-CN"/>
        </w:rPr>
        <w:t>坝</w:t>
      </w:r>
      <w:r>
        <w:tab/>
      </w:r>
      <w:r>
        <w:fldChar w:fldCharType="begin"/>
      </w:r>
      <w:r>
        <w:instrText xml:space="preserve"> PAGEREF _Toc2182 \h </w:instrText>
      </w:r>
      <w:r>
        <w:fldChar w:fldCharType="separate"/>
      </w:r>
      <w:r>
        <w:t>18</w:t>
      </w:r>
      <w:r>
        <w:fldChar w:fldCharType="end"/>
      </w:r>
      <w:r>
        <w:rPr>
          <w:rFonts w:hint="default" w:ascii="Times New Roman" w:hAnsi="Times New Roman" w:cs="Times New Roman"/>
          <w:color w:val="FF0000"/>
          <w:kern w:val="0"/>
          <w:szCs w:val="24"/>
        </w:rPr>
        <w:fldChar w:fldCharType="end"/>
      </w:r>
    </w:p>
    <w:p w14:paraId="3E45C388">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_Toc5578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2.5.3尾矿库排洪设施</w:t>
      </w:r>
      <w:r>
        <w:tab/>
      </w:r>
      <w:r>
        <w:fldChar w:fldCharType="begin"/>
      </w:r>
      <w:r>
        <w:instrText xml:space="preserve"> PAGEREF _Toc5578 \h </w:instrText>
      </w:r>
      <w:r>
        <w:fldChar w:fldCharType="separate"/>
      </w:r>
      <w:r>
        <w:t>19</w:t>
      </w:r>
      <w:r>
        <w:fldChar w:fldCharType="end"/>
      </w:r>
      <w:r>
        <w:rPr>
          <w:rFonts w:hint="default" w:ascii="Times New Roman" w:hAnsi="Times New Roman" w:cs="Times New Roman"/>
          <w:color w:val="FF0000"/>
          <w:kern w:val="0"/>
          <w:szCs w:val="24"/>
        </w:rPr>
        <w:fldChar w:fldCharType="end"/>
      </w:r>
    </w:p>
    <w:p w14:paraId="17830F63">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_Toc8164 </w:instrText>
      </w:r>
      <w:r>
        <w:rPr>
          <w:rFonts w:hint="default" w:ascii="Times New Roman" w:hAnsi="Times New Roman" w:cs="Times New Roman"/>
          <w:kern w:val="0"/>
          <w:szCs w:val="24"/>
        </w:rPr>
        <w:fldChar w:fldCharType="separate"/>
      </w:r>
      <w:r>
        <w:rPr>
          <w:rFonts w:hint="eastAsia"/>
          <w:lang w:val="en-US" w:eastAsia="zh-CN"/>
        </w:rPr>
        <w:t>2.5.4</w:t>
      </w:r>
      <w:r>
        <w:rPr>
          <w:rFonts w:hint="default"/>
          <w:lang w:val="en-US" w:eastAsia="zh-CN"/>
        </w:rPr>
        <w:t>尾矿排放工艺</w:t>
      </w:r>
      <w:r>
        <w:tab/>
      </w:r>
      <w:r>
        <w:fldChar w:fldCharType="begin"/>
      </w:r>
      <w:r>
        <w:instrText xml:space="preserve"> PAGEREF _Toc8164 \h </w:instrText>
      </w:r>
      <w:r>
        <w:fldChar w:fldCharType="separate"/>
      </w:r>
      <w:r>
        <w:t>21</w:t>
      </w:r>
      <w:r>
        <w:fldChar w:fldCharType="end"/>
      </w:r>
      <w:r>
        <w:rPr>
          <w:rFonts w:hint="default" w:ascii="Times New Roman" w:hAnsi="Times New Roman" w:cs="Times New Roman"/>
          <w:color w:val="FF0000"/>
          <w:kern w:val="0"/>
          <w:szCs w:val="24"/>
        </w:rPr>
        <w:fldChar w:fldCharType="end"/>
      </w:r>
    </w:p>
    <w:p w14:paraId="0A337FC8">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_Toc21718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2.5.5监测设施</w:t>
      </w:r>
      <w:r>
        <w:tab/>
      </w:r>
      <w:r>
        <w:fldChar w:fldCharType="begin"/>
      </w:r>
      <w:r>
        <w:instrText xml:space="preserve"> PAGEREF _Toc21718 \h </w:instrText>
      </w:r>
      <w:r>
        <w:fldChar w:fldCharType="separate"/>
      </w:r>
      <w:r>
        <w:t>21</w:t>
      </w:r>
      <w:r>
        <w:fldChar w:fldCharType="end"/>
      </w:r>
      <w:r>
        <w:rPr>
          <w:rFonts w:hint="default" w:ascii="Times New Roman" w:hAnsi="Times New Roman" w:cs="Times New Roman"/>
          <w:color w:val="FF0000"/>
          <w:kern w:val="0"/>
          <w:szCs w:val="24"/>
        </w:rPr>
        <w:fldChar w:fldCharType="end"/>
      </w:r>
    </w:p>
    <w:p w14:paraId="566F7E99">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_Toc16753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2.5.6辅助设施</w:t>
      </w:r>
      <w:r>
        <w:tab/>
      </w:r>
      <w:r>
        <w:fldChar w:fldCharType="begin"/>
      </w:r>
      <w:r>
        <w:instrText xml:space="preserve"> PAGEREF _Toc16753 \h </w:instrText>
      </w:r>
      <w:r>
        <w:fldChar w:fldCharType="separate"/>
      </w:r>
      <w:r>
        <w:t>22</w:t>
      </w:r>
      <w:r>
        <w:fldChar w:fldCharType="end"/>
      </w:r>
      <w:r>
        <w:rPr>
          <w:rFonts w:hint="default" w:ascii="Times New Roman" w:hAnsi="Times New Roman" w:cs="Times New Roman"/>
          <w:color w:val="FF0000"/>
          <w:kern w:val="0"/>
          <w:szCs w:val="24"/>
        </w:rPr>
        <w:fldChar w:fldCharType="end"/>
      </w:r>
    </w:p>
    <w:p w14:paraId="39777859">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_Toc2492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2.6尾矿库安全管理</w:t>
      </w:r>
      <w:r>
        <w:tab/>
      </w:r>
      <w:r>
        <w:fldChar w:fldCharType="begin"/>
      </w:r>
      <w:r>
        <w:instrText xml:space="preserve"> PAGEREF _Toc2492 \h </w:instrText>
      </w:r>
      <w:r>
        <w:fldChar w:fldCharType="separate"/>
      </w:r>
      <w:r>
        <w:t>23</w:t>
      </w:r>
      <w:r>
        <w:fldChar w:fldCharType="end"/>
      </w:r>
      <w:r>
        <w:rPr>
          <w:rFonts w:hint="default" w:ascii="Times New Roman" w:hAnsi="Times New Roman" w:cs="Times New Roman"/>
          <w:color w:val="FF0000"/>
          <w:kern w:val="0"/>
          <w:szCs w:val="24"/>
        </w:rPr>
        <w:fldChar w:fldCharType="end"/>
      </w:r>
    </w:p>
    <w:p w14:paraId="585E6994">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_Toc13624 </w:instrText>
      </w:r>
      <w:r>
        <w:rPr>
          <w:rFonts w:hint="default" w:ascii="Times New Roman" w:hAnsi="Times New Roman" w:cs="Times New Roman"/>
          <w:kern w:val="0"/>
          <w:szCs w:val="24"/>
        </w:rPr>
        <w:fldChar w:fldCharType="separate"/>
      </w:r>
      <w:r>
        <w:rPr>
          <w:rFonts w:hint="eastAsia"/>
          <w:lang w:val="en-US" w:eastAsia="zh-CN"/>
        </w:rPr>
        <w:t>2.6.1安全生产机构</w:t>
      </w:r>
      <w:r>
        <w:tab/>
      </w:r>
      <w:r>
        <w:fldChar w:fldCharType="begin"/>
      </w:r>
      <w:r>
        <w:instrText xml:space="preserve"> PAGEREF _Toc13624 \h </w:instrText>
      </w:r>
      <w:r>
        <w:fldChar w:fldCharType="separate"/>
      </w:r>
      <w:r>
        <w:t>23</w:t>
      </w:r>
      <w:r>
        <w:fldChar w:fldCharType="end"/>
      </w:r>
      <w:r>
        <w:rPr>
          <w:rFonts w:hint="default" w:ascii="Times New Roman" w:hAnsi="Times New Roman" w:cs="Times New Roman"/>
          <w:color w:val="FF0000"/>
          <w:kern w:val="0"/>
          <w:szCs w:val="24"/>
        </w:rPr>
        <w:fldChar w:fldCharType="end"/>
      </w:r>
    </w:p>
    <w:p w14:paraId="039B4CED">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_Toc22942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.2 安全培训与教育</w:t>
      </w:r>
      <w:r>
        <w:tab/>
      </w:r>
      <w:r>
        <w:fldChar w:fldCharType="begin"/>
      </w:r>
      <w:r>
        <w:instrText xml:space="preserve"> PAGEREF _Toc22942 \h </w:instrText>
      </w:r>
      <w:r>
        <w:fldChar w:fldCharType="separate"/>
      </w:r>
      <w:r>
        <w:t>23</w:t>
      </w:r>
      <w:r>
        <w:fldChar w:fldCharType="end"/>
      </w:r>
      <w:r>
        <w:rPr>
          <w:rFonts w:hint="default" w:ascii="Times New Roman" w:hAnsi="Times New Roman" w:cs="Times New Roman"/>
          <w:color w:val="FF0000"/>
          <w:kern w:val="0"/>
          <w:szCs w:val="24"/>
        </w:rPr>
        <w:fldChar w:fldCharType="end"/>
      </w:r>
    </w:p>
    <w:p w14:paraId="56E49F09">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_Toc7179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.3 规章制度建设</w:t>
      </w:r>
      <w:r>
        <w:tab/>
      </w:r>
      <w:r>
        <w:fldChar w:fldCharType="begin"/>
      </w:r>
      <w:r>
        <w:instrText xml:space="preserve"> PAGEREF _Toc7179 \h </w:instrText>
      </w:r>
      <w:r>
        <w:fldChar w:fldCharType="separate"/>
      </w:r>
      <w:r>
        <w:t>24</w:t>
      </w:r>
      <w:r>
        <w:fldChar w:fldCharType="end"/>
      </w:r>
      <w:r>
        <w:rPr>
          <w:rFonts w:hint="default" w:ascii="Times New Roman" w:hAnsi="Times New Roman" w:cs="Times New Roman"/>
          <w:color w:val="FF0000"/>
          <w:kern w:val="0"/>
          <w:szCs w:val="24"/>
        </w:rPr>
        <w:fldChar w:fldCharType="end"/>
      </w:r>
    </w:p>
    <w:p w14:paraId="1EE274DD">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_Toc6490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.4 应急管理</w:t>
      </w:r>
      <w:r>
        <w:tab/>
      </w:r>
      <w:r>
        <w:fldChar w:fldCharType="begin"/>
      </w:r>
      <w:r>
        <w:instrText xml:space="preserve"> PAGEREF _Toc6490 \h </w:instrText>
      </w:r>
      <w:r>
        <w:fldChar w:fldCharType="separate"/>
      </w:r>
      <w:r>
        <w:t>24</w:t>
      </w:r>
      <w:r>
        <w:fldChar w:fldCharType="end"/>
      </w:r>
      <w:r>
        <w:rPr>
          <w:rFonts w:hint="default" w:ascii="Times New Roman" w:hAnsi="Times New Roman" w:cs="Times New Roman"/>
          <w:color w:val="FF0000"/>
          <w:kern w:val="0"/>
          <w:szCs w:val="24"/>
        </w:rPr>
        <w:fldChar w:fldCharType="end"/>
      </w:r>
    </w:p>
    <w:p w14:paraId="495C9446">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_Toc6492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.5 安全检查</w:t>
      </w:r>
      <w:r>
        <w:tab/>
      </w:r>
      <w:r>
        <w:fldChar w:fldCharType="begin"/>
      </w:r>
      <w:r>
        <w:instrText xml:space="preserve"> PAGEREF _Toc6492 \h </w:instrText>
      </w:r>
      <w:r>
        <w:fldChar w:fldCharType="separate"/>
      </w:r>
      <w:r>
        <w:t>25</w:t>
      </w:r>
      <w:r>
        <w:fldChar w:fldCharType="end"/>
      </w:r>
      <w:r>
        <w:rPr>
          <w:rFonts w:hint="default" w:ascii="Times New Roman" w:hAnsi="Times New Roman" w:cs="Times New Roman"/>
          <w:color w:val="FF0000"/>
          <w:kern w:val="0"/>
          <w:szCs w:val="24"/>
        </w:rPr>
        <w:fldChar w:fldCharType="end"/>
      </w:r>
    </w:p>
    <w:p w14:paraId="5A375D58">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_Toc8312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.6 安全标准化情况</w:t>
      </w:r>
      <w:r>
        <w:tab/>
      </w:r>
      <w:r>
        <w:fldChar w:fldCharType="begin"/>
      </w:r>
      <w:r>
        <w:instrText xml:space="preserve"> PAGEREF _Toc8312 \h </w:instrText>
      </w:r>
      <w:r>
        <w:fldChar w:fldCharType="separate"/>
      </w:r>
      <w:r>
        <w:t>25</w:t>
      </w:r>
      <w:r>
        <w:fldChar w:fldCharType="end"/>
      </w:r>
      <w:r>
        <w:rPr>
          <w:rFonts w:hint="default" w:ascii="Times New Roman" w:hAnsi="Times New Roman" w:cs="Times New Roman"/>
          <w:color w:val="FF0000"/>
          <w:kern w:val="0"/>
          <w:szCs w:val="24"/>
        </w:rPr>
        <w:fldChar w:fldCharType="end"/>
      </w:r>
    </w:p>
    <w:p w14:paraId="35BE74A2">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_Toc26860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.7 安全措施费用</w:t>
      </w:r>
      <w:r>
        <w:tab/>
      </w:r>
      <w:r>
        <w:fldChar w:fldCharType="begin"/>
      </w:r>
      <w:r>
        <w:instrText xml:space="preserve"> PAGEREF _Toc26860 \h </w:instrText>
      </w:r>
      <w:r>
        <w:fldChar w:fldCharType="separate"/>
      </w:r>
      <w:r>
        <w:t>25</w:t>
      </w:r>
      <w:r>
        <w:fldChar w:fldCharType="end"/>
      </w:r>
      <w:r>
        <w:rPr>
          <w:rFonts w:hint="default" w:ascii="Times New Roman" w:hAnsi="Times New Roman" w:cs="Times New Roman"/>
          <w:color w:val="FF0000"/>
          <w:kern w:val="0"/>
          <w:szCs w:val="24"/>
        </w:rPr>
        <w:fldChar w:fldCharType="end"/>
      </w:r>
    </w:p>
    <w:p w14:paraId="3BC1E0E4">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_Toc23724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.8 工伤保险和安全生产责任保险</w:t>
      </w:r>
      <w:r>
        <w:tab/>
      </w:r>
      <w:r>
        <w:fldChar w:fldCharType="begin"/>
      </w:r>
      <w:r>
        <w:instrText xml:space="preserve"> PAGEREF _Toc23724 \h </w:instrText>
      </w:r>
      <w:r>
        <w:fldChar w:fldCharType="separate"/>
      </w:r>
      <w:r>
        <w:t>25</w:t>
      </w:r>
      <w:r>
        <w:fldChar w:fldCharType="end"/>
      </w:r>
      <w:r>
        <w:rPr>
          <w:rFonts w:hint="default" w:ascii="Times New Roman" w:hAnsi="Times New Roman" w:cs="Times New Roman"/>
          <w:color w:val="FF0000"/>
          <w:kern w:val="0"/>
          <w:szCs w:val="24"/>
        </w:rPr>
        <w:fldChar w:fldCharType="end"/>
      </w:r>
    </w:p>
    <w:p w14:paraId="452D41D4">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_Toc9930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.9班组建设</w:t>
      </w:r>
      <w:r>
        <w:tab/>
      </w:r>
      <w:r>
        <w:fldChar w:fldCharType="begin"/>
      </w:r>
      <w:r>
        <w:instrText xml:space="preserve"> PAGEREF _Toc9930 \h </w:instrText>
      </w:r>
      <w:r>
        <w:fldChar w:fldCharType="separate"/>
      </w:r>
      <w:r>
        <w:t>25</w:t>
      </w:r>
      <w:r>
        <w:fldChar w:fldCharType="end"/>
      </w:r>
      <w:r>
        <w:rPr>
          <w:rFonts w:hint="default" w:ascii="Times New Roman" w:hAnsi="Times New Roman" w:cs="Times New Roman"/>
          <w:color w:val="FF0000"/>
          <w:kern w:val="0"/>
          <w:szCs w:val="24"/>
        </w:rPr>
        <w:fldChar w:fldCharType="end"/>
      </w:r>
    </w:p>
    <w:p w14:paraId="400AD5C2">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_Toc29254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.10 安全风险分级管控和隐患排查治理双重预防机制</w:t>
      </w:r>
      <w:r>
        <w:tab/>
      </w:r>
      <w:r>
        <w:fldChar w:fldCharType="begin"/>
      </w:r>
      <w:r>
        <w:instrText xml:space="preserve"> PAGEREF _Toc29254 \h </w:instrText>
      </w:r>
      <w:r>
        <w:fldChar w:fldCharType="separate"/>
      </w:r>
      <w:r>
        <w:t>26</w:t>
      </w:r>
      <w:r>
        <w:fldChar w:fldCharType="end"/>
      </w:r>
      <w:r>
        <w:rPr>
          <w:rFonts w:hint="default" w:ascii="Times New Roman" w:hAnsi="Times New Roman" w:cs="Times New Roman"/>
          <w:color w:val="FF0000"/>
          <w:kern w:val="0"/>
          <w:szCs w:val="24"/>
        </w:rPr>
        <w:fldChar w:fldCharType="end"/>
      </w:r>
    </w:p>
    <w:p w14:paraId="1D16195A">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_Toc1148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.11职业卫生</w:t>
      </w:r>
      <w:r>
        <w:tab/>
      </w:r>
      <w:r>
        <w:fldChar w:fldCharType="begin"/>
      </w:r>
      <w:r>
        <w:instrText xml:space="preserve"> PAGEREF _Toc1148 \h </w:instrText>
      </w:r>
      <w:r>
        <w:fldChar w:fldCharType="separate"/>
      </w:r>
      <w:r>
        <w:t>26</w:t>
      </w:r>
      <w:r>
        <w:fldChar w:fldCharType="end"/>
      </w:r>
      <w:r>
        <w:rPr>
          <w:rFonts w:hint="default" w:ascii="Times New Roman" w:hAnsi="Times New Roman" w:cs="Times New Roman"/>
          <w:color w:val="FF0000"/>
          <w:kern w:val="0"/>
          <w:szCs w:val="24"/>
        </w:rPr>
        <w:fldChar w:fldCharType="end"/>
      </w:r>
    </w:p>
    <w:p w14:paraId="58DE9013">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_Toc22856 </w:instrText>
      </w:r>
      <w:r>
        <w:rPr>
          <w:rFonts w:hint="default" w:ascii="Times New Roman" w:hAnsi="Times New Roman" w:cs="Times New Roman"/>
          <w:kern w:val="0"/>
          <w:szCs w:val="24"/>
        </w:rPr>
        <w:fldChar w:fldCharType="separate"/>
      </w:r>
      <w:r>
        <w:rPr>
          <w:rFonts w:hint="default"/>
          <w:lang w:val="en-US" w:eastAsia="zh-CN"/>
        </w:rPr>
        <w:t>2.</w:t>
      </w:r>
      <w:r>
        <w:rPr>
          <w:rFonts w:hint="eastAsia"/>
          <w:lang w:val="en-US" w:eastAsia="zh-CN"/>
        </w:rPr>
        <w:t>6</w:t>
      </w:r>
      <w:r>
        <w:rPr>
          <w:rFonts w:hint="default"/>
          <w:lang w:val="en-US" w:eastAsia="zh-CN"/>
        </w:rPr>
        <w:t>.12 生产安全事故情况</w:t>
      </w:r>
      <w:r>
        <w:tab/>
      </w:r>
      <w:r>
        <w:fldChar w:fldCharType="begin"/>
      </w:r>
      <w:r>
        <w:instrText xml:space="preserve"> PAGEREF _Toc22856 \h </w:instrText>
      </w:r>
      <w:r>
        <w:fldChar w:fldCharType="separate"/>
      </w:r>
      <w:r>
        <w:t>27</w:t>
      </w:r>
      <w:r>
        <w:fldChar w:fldCharType="end"/>
      </w:r>
      <w:r>
        <w:rPr>
          <w:rFonts w:hint="default" w:ascii="Times New Roman" w:hAnsi="Times New Roman" w:cs="Times New Roman"/>
          <w:color w:val="FF0000"/>
          <w:kern w:val="0"/>
          <w:szCs w:val="24"/>
        </w:rPr>
        <w:fldChar w:fldCharType="end"/>
      </w:r>
    </w:p>
    <w:p w14:paraId="15BD3EC5">
      <w:pPr>
        <w:pStyle w:val="13"/>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_Toc15437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3主要危险、有害因素辨识与分析</w:t>
      </w:r>
      <w:r>
        <w:tab/>
      </w:r>
      <w:r>
        <w:fldChar w:fldCharType="begin"/>
      </w:r>
      <w:r>
        <w:instrText xml:space="preserve"> PAGEREF _Toc15437 \h </w:instrText>
      </w:r>
      <w:r>
        <w:fldChar w:fldCharType="separate"/>
      </w:r>
      <w:r>
        <w:t>28</w:t>
      </w:r>
      <w:r>
        <w:fldChar w:fldCharType="end"/>
      </w:r>
      <w:r>
        <w:rPr>
          <w:rFonts w:hint="default" w:ascii="Times New Roman" w:hAnsi="Times New Roman" w:cs="Times New Roman"/>
          <w:color w:val="FF0000"/>
          <w:kern w:val="0"/>
          <w:szCs w:val="24"/>
        </w:rPr>
        <w:fldChar w:fldCharType="end"/>
      </w:r>
    </w:p>
    <w:p w14:paraId="1F2996E1">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_Toc9205 </w:instrText>
      </w:r>
      <w:r>
        <w:rPr>
          <w:rFonts w:hint="default" w:ascii="Times New Roman" w:hAnsi="Times New Roman" w:cs="Times New Roman"/>
          <w:kern w:val="0"/>
          <w:szCs w:val="24"/>
        </w:rPr>
        <w:fldChar w:fldCharType="separate"/>
      </w:r>
      <w:r>
        <w:rPr>
          <w:rFonts w:hint="default" w:ascii="Times New Roman" w:hAnsi="Times New Roman" w:cs="Times New Roman"/>
        </w:rPr>
        <w:t>3.1尾矿库病害的产生原因</w:t>
      </w:r>
      <w:r>
        <w:tab/>
      </w:r>
      <w:r>
        <w:fldChar w:fldCharType="begin"/>
      </w:r>
      <w:r>
        <w:instrText xml:space="preserve"> PAGEREF _Toc9205 \h </w:instrText>
      </w:r>
      <w:r>
        <w:fldChar w:fldCharType="separate"/>
      </w:r>
      <w:r>
        <w:t>28</w:t>
      </w:r>
      <w:r>
        <w:fldChar w:fldCharType="end"/>
      </w:r>
      <w:r>
        <w:rPr>
          <w:rFonts w:hint="default" w:ascii="Times New Roman" w:hAnsi="Times New Roman" w:cs="Times New Roman"/>
          <w:color w:val="FF0000"/>
          <w:kern w:val="0"/>
          <w:szCs w:val="24"/>
        </w:rPr>
        <w:fldChar w:fldCharType="end"/>
      </w:r>
    </w:p>
    <w:p w14:paraId="2E3AD8A1">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_Toc23560 </w:instrText>
      </w:r>
      <w:r>
        <w:rPr>
          <w:rFonts w:hint="default" w:ascii="Times New Roman" w:hAnsi="Times New Roman" w:cs="Times New Roman"/>
          <w:kern w:val="0"/>
          <w:szCs w:val="24"/>
        </w:rPr>
        <w:fldChar w:fldCharType="separate"/>
      </w:r>
      <w:r>
        <w:rPr>
          <w:rFonts w:hint="default"/>
        </w:rPr>
        <w:t>3.1.1勘察因素造成的病害</w:t>
      </w:r>
      <w:r>
        <w:tab/>
      </w:r>
      <w:r>
        <w:fldChar w:fldCharType="begin"/>
      </w:r>
      <w:r>
        <w:instrText xml:space="preserve"> PAGEREF _Toc23560 \h </w:instrText>
      </w:r>
      <w:r>
        <w:fldChar w:fldCharType="separate"/>
      </w:r>
      <w:r>
        <w:t>28</w:t>
      </w:r>
      <w:r>
        <w:fldChar w:fldCharType="end"/>
      </w:r>
      <w:r>
        <w:rPr>
          <w:rFonts w:hint="default" w:ascii="Times New Roman" w:hAnsi="Times New Roman" w:cs="Times New Roman"/>
          <w:color w:val="FF0000"/>
          <w:kern w:val="0"/>
          <w:szCs w:val="24"/>
        </w:rPr>
        <w:fldChar w:fldCharType="end"/>
      </w:r>
    </w:p>
    <w:p w14:paraId="53BF8624">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_Toc17177 </w:instrText>
      </w:r>
      <w:r>
        <w:rPr>
          <w:rFonts w:hint="default" w:ascii="Times New Roman" w:hAnsi="Times New Roman" w:cs="Times New Roman"/>
          <w:kern w:val="0"/>
          <w:szCs w:val="24"/>
        </w:rPr>
        <w:fldChar w:fldCharType="separate"/>
      </w:r>
      <w:r>
        <w:rPr>
          <w:rFonts w:hint="default" w:ascii="Times New Roman" w:hAnsi="Times New Roman" w:cs="Times New Roman"/>
        </w:rPr>
        <w:t>3.1.2设计因素造成的病害</w:t>
      </w:r>
      <w:r>
        <w:tab/>
      </w:r>
      <w:r>
        <w:fldChar w:fldCharType="begin"/>
      </w:r>
      <w:r>
        <w:instrText xml:space="preserve"> PAGEREF _Toc17177 \h </w:instrText>
      </w:r>
      <w:r>
        <w:fldChar w:fldCharType="separate"/>
      </w:r>
      <w:r>
        <w:t>28</w:t>
      </w:r>
      <w:r>
        <w:fldChar w:fldCharType="end"/>
      </w:r>
      <w:r>
        <w:rPr>
          <w:rFonts w:hint="default" w:ascii="Times New Roman" w:hAnsi="Times New Roman" w:cs="Times New Roman"/>
          <w:color w:val="FF0000"/>
          <w:kern w:val="0"/>
          <w:szCs w:val="24"/>
        </w:rPr>
        <w:fldChar w:fldCharType="end"/>
      </w:r>
    </w:p>
    <w:p w14:paraId="1C117381">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_Toc2744 </w:instrText>
      </w:r>
      <w:r>
        <w:rPr>
          <w:rFonts w:hint="default" w:ascii="Times New Roman" w:hAnsi="Times New Roman" w:cs="Times New Roman"/>
          <w:kern w:val="0"/>
          <w:szCs w:val="24"/>
        </w:rPr>
        <w:fldChar w:fldCharType="separate"/>
      </w:r>
      <w:r>
        <w:rPr>
          <w:rFonts w:hint="default" w:ascii="Times New Roman" w:hAnsi="Times New Roman" w:cs="Times New Roman"/>
        </w:rPr>
        <w:t>3.1.3施工因素造成的病害</w:t>
      </w:r>
      <w:r>
        <w:tab/>
      </w:r>
      <w:r>
        <w:fldChar w:fldCharType="begin"/>
      </w:r>
      <w:r>
        <w:instrText xml:space="preserve"> PAGEREF _Toc2744 \h </w:instrText>
      </w:r>
      <w:r>
        <w:fldChar w:fldCharType="separate"/>
      </w:r>
      <w:r>
        <w:t>28</w:t>
      </w:r>
      <w:r>
        <w:fldChar w:fldCharType="end"/>
      </w:r>
      <w:r>
        <w:rPr>
          <w:rFonts w:hint="default" w:ascii="Times New Roman" w:hAnsi="Times New Roman" w:cs="Times New Roman"/>
          <w:color w:val="FF0000"/>
          <w:kern w:val="0"/>
          <w:szCs w:val="24"/>
        </w:rPr>
        <w:fldChar w:fldCharType="end"/>
      </w:r>
    </w:p>
    <w:p w14:paraId="32231263">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_Toc32093 </w:instrText>
      </w:r>
      <w:r>
        <w:rPr>
          <w:rFonts w:hint="default" w:ascii="Times New Roman" w:hAnsi="Times New Roman" w:cs="Times New Roman"/>
          <w:kern w:val="0"/>
          <w:szCs w:val="24"/>
        </w:rPr>
        <w:fldChar w:fldCharType="separate"/>
      </w:r>
      <w:r>
        <w:rPr>
          <w:rFonts w:hint="default" w:ascii="Times New Roman" w:hAnsi="Times New Roman" w:cs="Times New Roman"/>
        </w:rPr>
        <w:t>3.1.4操作管理不当造成的病害</w:t>
      </w:r>
      <w:r>
        <w:tab/>
      </w:r>
      <w:r>
        <w:fldChar w:fldCharType="begin"/>
      </w:r>
      <w:r>
        <w:instrText xml:space="preserve"> PAGEREF _Toc32093 \h </w:instrText>
      </w:r>
      <w:r>
        <w:fldChar w:fldCharType="separate"/>
      </w:r>
      <w:r>
        <w:t>29</w:t>
      </w:r>
      <w:r>
        <w:fldChar w:fldCharType="end"/>
      </w:r>
      <w:r>
        <w:rPr>
          <w:rFonts w:hint="default" w:ascii="Times New Roman" w:hAnsi="Times New Roman" w:cs="Times New Roman"/>
          <w:color w:val="FF0000"/>
          <w:kern w:val="0"/>
          <w:szCs w:val="24"/>
        </w:rPr>
        <w:fldChar w:fldCharType="end"/>
      </w:r>
    </w:p>
    <w:p w14:paraId="70E4E0EA">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_Toc18710 </w:instrText>
      </w:r>
      <w:r>
        <w:rPr>
          <w:rFonts w:hint="default" w:ascii="Times New Roman" w:hAnsi="Times New Roman" w:cs="Times New Roman"/>
          <w:kern w:val="0"/>
          <w:szCs w:val="24"/>
        </w:rPr>
        <w:fldChar w:fldCharType="separate"/>
      </w:r>
      <w:r>
        <w:rPr>
          <w:rFonts w:hint="default" w:ascii="Times New Roman" w:hAnsi="Times New Roman" w:cs="Times New Roman"/>
        </w:rPr>
        <w:t>3.1.5其他因素造成的病害</w:t>
      </w:r>
      <w:r>
        <w:tab/>
      </w:r>
      <w:r>
        <w:fldChar w:fldCharType="begin"/>
      </w:r>
      <w:r>
        <w:instrText xml:space="preserve"> PAGEREF _Toc18710 \h </w:instrText>
      </w:r>
      <w:r>
        <w:fldChar w:fldCharType="separate"/>
      </w:r>
      <w:r>
        <w:t>29</w:t>
      </w:r>
      <w:r>
        <w:fldChar w:fldCharType="end"/>
      </w:r>
      <w:r>
        <w:rPr>
          <w:rFonts w:hint="default" w:ascii="Times New Roman" w:hAnsi="Times New Roman" w:cs="Times New Roman"/>
          <w:color w:val="FF0000"/>
          <w:kern w:val="0"/>
          <w:szCs w:val="24"/>
        </w:rPr>
        <w:fldChar w:fldCharType="end"/>
      </w:r>
    </w:p>
    <w:p w14:paraId="21D9C571">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_Toc14943 </w:instrText>
      </w:r>
      <w:r>
        <w:rPr>
          <w:rFonts w:hint="default" w:ascii="Times New Roman" w:hAnsi="Times New Roman" w:cs="Times New Roman"/>
          <w:kern w:val="0"/>
          <w:szCs w:val="24"/>
        </w:rPr>
        <w:fldChar w:fldCharType="separate"/>
      </w:r>
      <w:r>
        <w:rPr>
          <w:rFonts w:hint="default" w:ascii="Times New Roman" w:hAnsi="Times New Roman" w:cs="Times New Roman"/>
        </w:rPr>
        <w:t>3.1.6尾矿库失事实例</w:t>
      </w:r>
      <w:r>
        <w:tab/>
      </w:r>
      <w:r>
        <w:fldChar w:fldCharType="begin"/>
      </w:r>
      <w:r>
        <w:instrText xml:space="preserve"> PAGEREF _Toc14943 \h </w:instrText>
      </w:r>
      <w:r>
        <w:fldChar w:fldCharType="separate"/>
      </w:r>
      <w:r>
        <w:t>29</w:t>
      </w:r>
      <w:r>
        <w:fldChar w:fldCharType="end"/>
      </w:r>
      <w:r>
        <w:rPr>
          <w:rFonts w:hint="default" w:ascii="Times New Roman" w:hAnsi="Times New Roman" w:cs="Times New Roman"/>
          <w:color w:val="FF0000"/>
          <w:kern w:val="0"/>
          <w:szCs w:val="24"/>
        </w:rPr>
        <w:fldChar w:fldCharType="end"/>
      </w:r>
    </w:p>
    <w:p w14:paraId="1AFC5787">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_Toc27351 </w:instrText>
      </w:r>
      <w:r>
        <w:rPr>
          <w:rFonts w:hint="default" w:ascii="Times New Roman" w:hAnsi="Times New Roman" w:cs="Times New Roman"/>
          <w:kern w:val="0"/>
          <w:szCs w:val="24"/>
        </w:rPr>
        <w:fldChar w:fldCharType="separate"/>
      </w:r>
      <w:r>
        <w:rPr>
          <w:rFonts w:hint="default" w:ascii="Times New Roman" w:hAnsi="Times New Roman" w:cs="Times New Roman"/>
        </w:rPr>
        <w:t>3.2尾矿库危险、有害因素分析</w:t>
      </w:r>
      <w:r>
        <w:tab/>
      </w:r>
      <w:r>
        <w:fldChar w:fldCharType="begin"/>
      </w:r>
      <w:r>
        <w:instrText xml:space="preserve"> PAGEREF _Toc27351 \h </w:instrText>
      </w:r>
      <w:r>
        <w:fldChar w:fldCharType="separate"/>
      </w:r>
      <w:r>
        <w:t>30</w:t>
      </w:r>
      <w:r>
        <w:fldChar w:fldCharType="end"/>
      </w:r>
      <w:r>
        <w:rPr>
          <w:rFonts w:hint="default" w:ascii="Times New Roman" w:hAnsi="Times New Roman" w:cs="Times New Roman"/>
          <w:color w:val="FF0000"/>
          <w:kern w:val="0"/>
          <w:szCs w:val="24"/>
        </w:rPr>
        <w:fldChar w:fldCharType="end"/>
      </w:r>
    </w:p>
    <w:p w14:paraId="79B7B0A6">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_Toc1896 </w:instrText>
      </w:r>
      <w:r>
        <w:rPr>
          <w:rFonts w:hint="default" w:ascii="Times New Roman" w:hAnsi="Times New Roman" w:cs="Times New Roman"/>
          <w:kern w:val="0"/>
          <w:szCs w:val="24"/>
        </w:rPr>
        <w:fldChar w:fldCharType="separate"/>
      </w:r>
      <w:r>
        <w:rPr>
          <w:rFonts w:hint="default" w:ascii="Times New Roman" w:hAnsi="Times New Roman" w:cs="Times New Roman"/>
        </w:rPr>
        <w:t>3.2.1滑坡（坝坡失稳）</w:t>
      </w:r>
      <w:r>
        <w:tab/>
      </w:r>
      <w:r>
        <w:fldChar w:fldCharType="begin"/>
      </w:r>
      <w:r>
        <w:instrText xml:space="preserve"> PAGEREF _Toc1896 \h </w:instrText>
      </w:r>
      <w:r>
        <w:fldChar w:fldCharType="separate"/>
      </w:r>
      <w:r>
        <w:t>30</w:t>
      </w:r>
      <w:r>
        <w:fldChar w:fldCharType="end"/>
      </w:r>
      <w:r>
        <w:rPr>
          <w:rFonts w:hint="default" w:ascii="Times New Roman" w:hAnsi="Times New Roman" w:cs="Times New Roman"/>
          <w:color w:val="FF0000"/>
          <w:kern w:val="0"/>
          <w:szCs w:val="24"/>
        </w:rPr>
        <w:fldChar w:fldCharType="end"/>
      </w:r>
    </w:p>
    <w:p w14:paraId="0FABA18F">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_Toc14070 </w:instrText>
      </w:r>
      <w:r>
        <w:rPr>
          <w:rFonts w:hint="default" w:ascii="Times New Roman" w:hAnsi="Times New Roman" w:cs="Times New Roman"/>
          <w:kern w:val="0"/>
          <w:szCs w:val="24"/>
        </w:rPr>
        <w:fldChar w:fldCharType="separate"/>
      </w:r>
      <w:r>
        <w:rPr>
          <w:rFonts w:hint="default" w:ascii="Times New Roman" w:hAnsi="Times New Roman" w:cs="Times New Roman"/>
        </w:rPr>
        <w:t>3.2.2渗漏</w:t>
      </w:r>
      <w:r>
        <w:tab/>
      </w:r>
      <w:r>
        <w:fldChar w:fldCharType="begin"/>
      </w:r>
      <w:r>
        <w:instrText xml:space="preserve"> PAGEREF _Toc14070 \h </w:instrText>
      </w:r>
      <w:r>
        <w:fldChar w:fldCharType="separate"/>
      </w:r>
      <w:r>
        <w:t>31</w:t>
      </w:r>
      <w:r>
        <w:fldChar w:fldCharType="end"/>
      </w:r>
      <w:r>
        <w:rPr>
          <w:rFonts w:hint="default" w:ascii="Times New Roman" w:hAnsi="Times New Roman" w:cs="Times New Roman"/>
          <w:color w:val="FF0000"/>
          <w:kern w:val="0"/>
          <w:szCs w:val="24"/>
        </w:rPr>
        <w:fldChar w:fldCharType="end"/>
      </w:r>
    </w:p>
    <w:p w14:paraId="2C77E8DD">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_Toc10999 </w:instrText>
      </w:r>
      <w:r>
        <w:rPr>
          <w:rFonts w:hint="default" w:ascii="Times New Roman" w:hAnsi="Times New Roman" w:cs="Times New Roman"/>
          <w:kern w:val="0"/>
          <w:szCs w:val="24"/>
        </w:rPr>
        <w:fldChar w:fldCharType="separate"/>
      </w:r>
      <w:r>
        <w:rPr>
          <w:rFonts w:hint="default" w:ascii="Times New Roman" w:hAnsi="Times New Roman" w:cs="Times New Roman"/>
        </w:rPr>
        <w:t>3.2.3排水、泄洪构筑物破坏</w:t>
      </w:r>
      <w:r>
        <w:tab/>
      </w:r>
      <w:r>
        <w:fldChar w:fldCharType="begin"/>
      </w:r>
      <w:r>
        <w:instrText xml:space="preserve"> PAGEREF _Toc10999 \h </w:instrText>
      </w:r>
      <w:r>
        <w:fldChar w:fldCharType="separate"/>
      </w:r>
      <w:r>
        <w:t>31</w:t>
      </w:r>
      <w:r>
        <w:fldChar w:fldCharType="end"/>
      </w:r>
      <w:r>
        <w:rPr>
          <w:rFonts w:hint="default" w:ascii="Times New Roman" w:hAnsi="Times New Roman" w:cs="Times New Roman"/>
          <w:color w:val="FF0000"/>
          <w:kern w:val="0"/>
          <w:szCs w:val="24"/>
        </w:rPr>
        <w:fldChar w:fldCharType="end"/>
      </w:r>
    </w:p>
    <w:p w14:paraId="56B60E8C">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_Toc20390 </w:instrText>
      </w:r>
      <w:r>
        <w:rPr>
          <w:rFonts w:hint="default" w:ascii="Times New Roman" w:hAnsi="Times New Roman" w:cs="Times New Roman"/>
          <w:kern w:val="0"/>
          <w:szCs w:val="24"/>
        </w:rPr>
        <w:fldChar w:fldCharType="separate"/>
      </w:r>
      <w:r>
        <w:rPr>
          <w:rFonts w:hint="default" w:ascii="Times New Roman" w:hAnsi="Times New Roman" w:cs="Times New Roman"/>
        </w:rPr>
        <w:t>3.2.4裂缝</w:t>
      </w:r>
      <w:r>
        <w:tab/>
      </w:r>
      <w:r>
        <w:fldChar w:fldCharType="begin"/>
      </w:r>
      <w:r>
        <w:instrText xml:space="preserve"> PAGEREF _Toc20390 \h </w:instrText>
      </w:r>
      <w:r>
        <w:fldChar w:fldCharType="separate"/>
      </w:r>
      <w:r>
        <w:t>32</w:t>
      </w:r>
      <w:r>
        <w:fldChar w:fldCharType="end"/>
      </w:r>
      <w:r>
        <w:rPr>
          <w:rFonts w:hint="default" w:ascii="Times New Roman" w:hAnsi="Times New Roman" w:cs="Times New Roman"/>
          <w:color w:val="FF0000"/>
          <w:kern w:val="0"/>
          <w:szCs w:val="24"/>
        </w:rPr>
        <w:fldChar w:fldCharType="end"/>
      </w:r>
    </w:p>
    <w:p w14:paraId="78661B59">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_Toc1399 </w:instrText>
      </w:r>
      <w:r>
        <w:rPr>
          <w:rFonts w:hint="default" w:ascii="Times New Roman" w:hAnsi="Times New Roman" w:cs="Times New Roman"/>
          <w:kern w:val="0"/>
          <w:szCs w:val="24"/>
        </w:rPr>
        <w:fldChar w:fldCharType="separate"/>
      </w:r>
      <w:r>
        <w:rPr>
          <w:rFonts w:hint="default" w:ascii="Times New Roman" w:hAnsi="Times New Roman" w:cs="Times New Roman"/>
        </w:rPr>
        <w:t>3.2.5淹溺</w:t>
      </w:r>
      <w:r>
        <w:tab/>
      </w:r>
      <w:r>
        <w:fldChar w:fldCharType="begin"/>
      </w:r>
      <w:r>
        <w:instrText xml:space="preserve"> PAGEREF _Toc1399 \h </w:instrText>
      </w:r>
      <w:r>
        <w:fldChar w:fldCharType="separate"/>
      </w:r>
      <w:r>
        <w:t>33</w:t>
      </w:r>
      <w:r>
        <w:fldChar w:fldCharType="end"/>
      </w:r>
      <w:r>
        <w:rPr>
          <w:rFonts w:hint="default" w:ascii="Times New Roman" w:hAnsi="Times New Roman" w:cs="Times New Roman"/>
          <w:color w:val="FF0000"/>
          <w:kern w:val="0"/>
          <w:szCs w:val="24"/>
        </w:rPr>
        <w:fldChar w:fldCharType="end"/>
      </w:r>
    </w:p>
    <w:p w14:paraId="57EBB13F">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_Toc18074 </w:instrText>
      </w:r>
      <w:r>
        <w:rPr>
          <w:rFonts w:hint="default" w:ascii="Times New Roman" w:hAnsi="Times New Roman" w:cs="Times New Roman"/>
          <w:kern w:val="0"/>
          <w:szCs w:val="24"/>
        </w:rPr>
        <w:fldChar w:fldCharType="separate"/>
      </w:r>
      <w:r>
        <w:rPr>
          <w:rFonts w:hint="default" w:ascii="Times New Roman" w:hAnsi="Times New Roman" w:cs="Times New Roman"/>
        </w:rPr>
        <w:t>3.2.6高处坠落</w:t>
      </w:r>
      <w:r>
        <w:tab/>
      </w:r>
      <w:r>
        <w:fldChar w:fldCharType="begin"/>
      </w:r>
      <w:r>
        <w:instrText xml:space="preserve"> PAGEREF _Toc18074 \h </w:instrText>
      </w:r>
      <w:r>
        <w:fldChar w:fldCharType="separate"/>
      </w:r>
      <w:r>
        <w:t>33</w:t>
      </w:r>
      <w:r>
        <w:fldChar w:fldCharType="end"/>
      </w:r>
      <w:r>
        <w:rPr>
          <w:rFonts w:hint="default" w:ascii="Times New Roman" w:hAnsi="Times New Roman" w:cs="Times New Roman"/>
          <w:color w:val="FF0000"/>
          <w:kern w:val="0"/>
          <w:szCs w:val="24"/>
        </w:rPr>
        <w:fldChar w:fldCharType="end"/>
      </w:r>
    </w:p>
    <w:p w14:paraId="7D9297CF">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_Toc12509 </w:instrText>
      </w:r>
      <w:r>
        <w:rPr>
          <w:rFonts w:hint="default" w:ascii="Times New Roman" w:hAnsi="Times New Roman" w:cs="Times New Roman"/>
          <w:kern w:val="0"/>
          <w:szCs w:val="24"/>
        </w:rPr>
        <w:fldChar w:fldCharType="separate"/>
      </w:r>
      <w:r>
        <w:rPr>
          <w:rFonts w:hint="default" w:ascii="Times New Roman" w:hAnsi="Times New Roman" w:cs="Times New Roman"/>
        </w:rPr>
        <w:t>3.2.7库区山体滑坡、塌方和泥石流</w:t>
      </w:r>
      <w:r>
        <w:tab/>
      </w:r>
      <w:r>
        <w:fldChar w:fldCharType="begin"/>
      </w:r>
      <w:r>
        <w:instrText xml:space="preserve"> PAGEREF _Toc12509 \h </w:instrText>
      </w:r>
      <w:r>
        <w:fldChar w:fldCharType="separate"/>
      </w:r>
      <w:r>
        <w:t>33</w:t>
      </w:r>
      <w:r>
        <w:fldChar w:fldCharType="end"/>
      </w:r>
      <w:r>
        <w:rPr>
          <w:rFonts w:hint="default" w:ascii="Times New Roman" w:hAnsi="Times New Roman" w:cs="Times New Roman"/>
          <w:color w:val="FF0000"/>
          <w:kern w:val="0"/>
          <w:szCs w:val="24"/>
        </w:rPr>
        <w:fldChar w:fldCharType="end"/>
      </w:r>
    </w:p>
    <w:p w14:paraId="4ADC54AD">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_Toc10433 </w:instrText>
      </w:r>
      <w:r>
        <w:rPr>
          <w:rFonts w:hint="default" w:ascii="Times New Roman" w:hAnsi="Times New Roman" w:cs="Times New Roman"/>
          <w:kern w:val="0"/>
          <w:szCs w:val="24"/>
        </w:rPr>
        <w:fldChar w:fldCharType="separate"/>
      </w:r>
      <w:r>
        <w:rPr>
          <w:rFonts w:hint="default" w:ascii="Times New Roman" w:hAnsi="Times New Roman" w:cs="Times New Roman"/>
        </w:rPr>
        <w:t>3.2.8不良环境因素</w:t>
      </w:r>
      <w:r>
        <w:tab/>
      </w:r>
      <w:r>
        <w:fldChar w:fldCharType="begin"/>
      </w:r>
      <w:r>
        <w:instrText xml:space="preserve"> PAGEREF _Toc10433 \h </w:instrText>
      </w:r>
      <w:r>
        <w:fldChar w:fldCharType="separate"/>
      </w:r>
      <w:r>
        <w:t>33</w:t>
      </w:r>
      <w:r>
        <w:fldChar w:fldCharType="end"/>
      </w:r>
      <w:r>
        <w:rPr>
          <w:rFonts w:hint="default" w:ascii="Times New Roman" w:hAnsi="Times New Roman" w:cs="Times New Roman"/>
          <w:color w:val="FF0000"/>
          <w:kern w:val="0"/>
          <w:szCs w:val="24"/>
        </w:rPr>
        <w:fldChar w:fldCharType="end"/>
      </w:r>
    </w:p>
    <w:p w14:paraId="53B78B8A">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_Toc7681 </w:instrText>
      </w:r>
      <w:r>
        <w:rPr>
          <w:rFonts w:hint="default" w:ascii="Times New Roman" w:hAnsi="Times New Roman" w:cs="Times New Roman"/>
          <w:kern w:val="0"/>
          <w:szCs w:val="24"/>
        </w:rPr>
        <w:fldChar w:fldCharType="separate"/>
      </w:r>
      <w:r>
        <w:rPr>
          <w:rFonts w:hint="default" w:ascii="Times New Roman" w:hAnsi="Times New Roman" w:cs="Times New Roman"/>
        </w:rPr>
        <w:t>3.2.9其他因素造成的病害</w:t>
      </w:r>
      <w:r>
        <w:tab/>
      </w:r>
      <w:r>
        <w:fldChar w:fldCharType="begin"/>
      </w:r>
      <w:r>
        <w:instrText xml:space="preserve"> PAGEREF _Toc7681 \h </w:instrText>
      </w:r>
      <w:r>
        <w:fldChar w:fldCharType="separate"/>
      </w:r>
      <w:r>
        <w:t>33</w:t>
      </w:r>
      <w:r>
        <w:fldChar w:fldCharType="end"/>
      </w:r>
      <w:r>
        <w:rPr>
          <w:rFonts w:hint="default" w:ascii="Times New Roman" w:hAnsi="Times New Roman" w:cs="Times New Roman"/>
          <w:color w:val="FF0000"/>
          <w:kern w:val="0"/>
          <w:szCs w:val="24"/>
        </w:rPr>
        <w:fldChar w:fldCharType="end"/>
      </w:r>
    </w:p>
    <w:p w14:paraId="127FD9B9">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_Toc25768 </w:instrText>
      </w:r>
      <w:r>
        <w:rPr>
          <w:rFonts w:hint="default" w:ascii="Times New Roman" w:hAnsi="Times New Roman" w:cs="Times New Roman"/>
          <w:kern w:val="0"/>
          <w:szCs w:val="24"/>
        </w:rPr>
        <w:fldChar w:fldCharType="separate"/>
      </w:r>
      <w:r>
        <w:rPr>
          <w:rFonts w:hint="default" w:ascii="Times New Roman" w:hAnsi="Times New Roman" w:cs="Times New Roman"/>
        </w:rPr>
        <w:t>3.3重大危险源</w:t>
      </w:r>
      <w:r>
        <w:rPr>
          <w:rFonts w:hint="eastAsia" w:cs="Times New Roman"/>
          <w:lang w:val="en-US" w:eastAsia="zh-CN"/>
        </w:rPr>
        <w:t>与重大生产安全事故隐患</w:t>
      </w:r>
      <w:r>
        <w:rPr>
          <w:rFonts w:hint="default" w:ascii="Times New Roman" w:hAnsi="Times New Roman" w:cs="Times New Roman"/>
        </w:rPr>
        <w:t>辩识</w:t>
      </w:r>
      <w:r>
        <w:tab/>
      </w:r>
      <w:r>
        <w:fldChar w:fldCharType="begin"/>
      </w:r>
      <w:r>
        <w:instrText xml:space="preserve"> PAGEREF _Toc25768 \h </w:instrText>
      </w:r>
      <w:r>
        <w:fldChar w:fldCharType="separate"/>
      </w:r>
      <w:r>
        <w:t>34</w:t>
      </w:r>
      <w:r>
        <w:fldChar w:fldCharType="end"/>
      </w:r>
      <w:r>
        <w:rPr>
          <w:rFonts w:hint="default" w:ascii="Times New Roman" w:hAnsi="Times New Roman" w:cs="Times New Roman"/>
          <w:color w:val="FF0000"/>
          <w:kern w:val="0"/>
          <w:szCs w:val="24"/>
        </w:rPr>
        <w:fldChar w:fldCharType="end"/>
      </w:r>
    </w:p>
    <w:p w14:paraId="38C0C7C5">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_Toc9711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3.4 危险、有害因素分析结果</w:t>
      </w:r>
      <w:r>
        <w:tab/>
      </w:r>
      <w:r>
        <w:fldChar w:fldCharType="begin"/>
      </w:r>
      <w:r>
        <w:instrText xml:space="preserve"> PAGEREF _Toc9711 \h </w:instrText>
      </w:r>
      <w:r>
        <w:fldChar w:fldCharType="separate"/>
      </w:r>
      <w:r>
        <w:t>36</w:t>
      </w:r>
      <w:r>
        <w:fldChar w:fldCharType="end"/>
      </w:r>
      <w:r>
        <w:rPr>
          <w:rFonts w:hint="default" w:ascii="Times New Roman" w:hAnsi="Times New Roman" w:cs="Times New Roman"/>
          <w:color w:val="FF0000"/>
          <w:kern w:val="0"/>
          <w:szCs w:val="24"/>
        </w:rPr>
        <w:fldChar w:fldCharType="end"/>
      </w:r>
    </w:p>
    <w:p w14:paraId="287094F3">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_Toc18716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3.4.1 危险、有害因素产生的原因</w:t>
      </w:r>
      <w:r>
        <w:tab/>
      </w:r>
      <w:r>
        <w:fldChar w:fldCharType="begin"/>
      </w:r>
      <w:r>
        <w:instrText xml:space="preserve"> PAGEREF _Toc18716 \h </w:instrText>
      </w:r>
      <w:r>
        <w:fldChar w:fldCharType="separate"/>
      </w:r>
      <w:r>
        <w:t>36</w:t>
      </w:r>
      <w:r>
        <w:fldChar w:fldCharType="end"/>
      </w:r>
      <w:r>
        <w:rPr>
          <w:rFonts w:hint="default" w:ascii="Times New Roman" w:hAnsi="Times New Roman" w:cs="Times New Roman"/>
          <w:color w:val="FF0000"/>
          <w:kern w:val="0"/>
          <w:szCs w:val="24"/>
        </w:rPr>
        <w:fldChar w:fldCharType="end"/>
      </w:r>
    </w:p>
    <w:p w14:paraId="26B11239">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_Toc30333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3.4.2 危险、有害因素分析结果</w:t>
      </w:r>
      <w:r>
        <w:tab/>
      </w:r>
      <w:r>
        <w:fldChar w:fldCharType="begin"/>
      </w:r>
      <w:r>
        <w:instrText xml:space="preserve"> PAGEREF _Toc30333 \h </w:instrText>
      </w:r>
      <w:r>
        <w:fldChar w:fldCharType="separate"/>
      </w:r>
      <w:r>
        <w:t>36</w:t>
      </w:r>
      <w:r>
        <w:fldChar w:fldCharType="end"/>
      </w:r>
      <w:r>
        <w:rPr>
          <w:rFonts w:hint="default" w:ascii="Times New Roman" w:hAnsi="Times New Roman" w:cs="Times New Roman"/>
          <w:color w:val="FF0000"/>
          <w:kern w:val="0"/>
          <w:szCs w:val="24"/>
        </w:rPr>
        <w:fldChar w:fldCharType="end"/>
      </w:r>
    </w:p>
    <w:p w14:paraId="1E3D5E12">
      <w:pPr>
        <w:pStyle w:val="13"/>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_Toc1484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4.安全评价单元划分和选择</w:t>
      </w:r>
      <w:r>
        <w:tab/>
      </w:r>
      <w:r>
        <w:fldChar w:fldCharType="begin"/>
      </w:r>
      <w:r>
        <w:instrText xml:space="preserve"> PAGEREF _Toc1484 \h </w:instrText>
      </w:r>
      <w:r>
        <w:fldChar w:fldCharType="separate"/>
      </w:r>
      <w:r>
        <w:t>37</w:t>
      </w:r>
      <w:r>
        <w:fldChar w:fldCharType="end"/>
      </w:r>
      <w:r>
        <w:rPr>
          <w:rFonts w:hint="default" w:ascii="Times New Roman" w:hAnsi="Times New Roman" w:cs="Times New Roman"/>
          <w:color w:val="FF0000"/>
          <w:kern w:val="0"/>
          <w:szCs w:val="24"/>
        </w:rPr>
        <w:fldChar w:fldCharType="end"/>
      </w:r>
    </w:p>
    <w:p w14:paraId="5AC222A2">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_Toc15603 </w:instrText>
      </w:r>
      <w:r>
        <w:rPr>
          <w:rFonts w:hint="default" w:ascii="Times New Roman" w:hAnsi="Times New Roman" w:cs="Times New Roman"/>
          <w:kern w:val="0"/>
          <w:szCs w:val="24"/>
        </w:rPr>
        <w:fldChar w:fldCharType="separate"/>
      </w:r>
      <w:r>
        <w:rPr>
          <w:rFonts w:hint="default" w:ascii="Times New Roman" w:hAnsi="Times New Roman" w:cs="Times New Roman"/>
        </w:rPr>
        <w:t>4.1评价单元划分</w:t>
      </w:r>
      <w:r>
        <w:tab/>
      </w:r>
      <w:r>
        <w:fldChar w:fldCharType="begin"/>
      </w:r>
      <w:r>
        <w:instrText xml:space="preserve"> PAGEREF _Toc15603 \h </w:instrText>
      </w:r>
      <w:r>
        <w:fldChar w:fldCharType="separate"/>
      </w:r>
      <w:r>
        <w:t>37</w:t>
      </w:r>
      <w:r>
        <w:fldChar w:fldCharType="end"/>
      </w:r>
      <w:r>
        <w:rPr>
          <w:rFonts w:hint="default" w:ascii="Times New Roman" w:hAnsi="Times New Roman" w:cs="Times New Roman"/>
          <w:color w:val="FF0000"/>
          <w:kern w:val="0"/>
          <w:szCs w:val="24"/>
        </w:rPr>
        <w:fldChar w:fldCharType="end"/>
      </w:r>
    </w:p>
    <w:p w14:paraId="5BBB8206">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_Toc9716 </w:instrText>
      </w:r>
      <w:r>
        <w:rPr>
          <w:rFonts w:hint="default" w:ascii="Times New Roman" w:hAnsi="Times New Roman" w:cs="Times New Roman"/>
          <w:kern w:val="0"/>
          <w:szCs w:val="24"/>
        </w:rPr>
        <w:fldChar w:fldCharType="separate"/>
      </w:r>
      <w:r>
        <w:rPr>
          <w:rFonts w:hint="default" w:ascii="Times New Roman" w:hAnsi="Times New Roman" w:cs="Times New Roman"/>
        </w:rPr>
        <w:t>4.2评价方法选择</w:t>
      </w:r>
      <w:r>
        <w:tab/>
      </w:r>
      <w:r>
        <w:fldChar w:fldCharType="begin"/>
      </w:r>
      <w:r>
        <w:instrText xml:space="preserve"> PAGEREF _Toc9716 \h </w:instrText>
      </w:r>
      <w:r>
        <w:fldChar w:fldCharType="separate"/>
      </w:r>
      <w:r>
        <w:t>37</w:t>
      </w:r>
      <w:r>
        <w:fldChar w:fldCharType="end"/>
      </w:r>
      <w:r>
        <w:rPr>
          <w:rFonts w:hint="default" w:ascii="Times New Roman" w:hAnsi="Times New Roman" w:cs="Times New Roman"/>
          <w:color w:val="FF0000"/>
          <w:kern w:val="0"/>
          <w:szCs w:val="24"/>
        </w:rPr>
        <w:fldChar w:fldCharType="end"/>
      </w:r>
    </w:p>
    <w:p w14:paraId="7C608391">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_Toc18051 </w:instrText>
      </w:r>
      <w:r>
        <w:rPr>
          <w:rFonts w:hint="default" w:ascii="Times New Roman" w:hAnsi="Times New Roman" w:cs="Times New Roman"/>
          <w:kern w:val="0"/>
          <w:szCs w:val="24"/>
        </w:rPr>
        <w:fldChar w:fldCharType="separate"/>
      </w:r>
      <w:r>
        <w:rPr>
          <w:rFonts w:hint="default" w:ascii="Times New Roman" w:hAnsi="Times New Roman" w:cs="Times New Roman"/>
        </w:rPr>
        <w:t>4.2.1安全检查表法（SCA）</w:t>
      </w:r>
      <w:r>
        <w:tab/>
      </w:r>
      <w:r>
        <w:fldChar w:fldCharType="begin"/>
      </w:r>
      <w:r>
        <w:instrText xml:space="preserve"> PAGEREF _Toc18051 \h </w:instrText>
      </w:r>
      <w:r>
        <w:fldChar w:fldCharType="separate"/>
      </w:r>
      <w:r>
        <w:t>38</w:t>
      </w:r>
      <w:r>
        <w:fldChar w:fldCharType="end"/>
      </w:r>
      <w:r>
        <w:rPr>
          <w:rFonts w:hint="default" w:ascii="Times New Roman" w:hAnsi="Times New Roman" w:cs="Times New Roman"/>
          <w:color w:val="FF0000"/>
          <w:kern w:val="0"/>
          <w:szCs w:val="24"/>
        </w:rPr>
        <w:fldChar w:fldCharType="end"/>
      </w:r>
    </w:p>
    <w:p w14:paraId="0DB139FE">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_Toc32083 </w:instrText>
      </w:r>
      <w:r>
        <w:rPr>
          <w:rFonts w:hint="default" w:ascii="Times New Roman" w:hAnsi="Times New Roman" w:cs="Times New Roman"/>
          <w:kern w:val="0"/>
          <w:szCs w:val="24"/>
        </w:rPr>
        <w:fldChar w:fldCharType="separate"/>
      </w:r>
      <w:r>
        <w:rPr>
          <w:rFonts w:hint="default" w:ascii="Times New Roman" w:hAnsi="Times New Roman" w:cs="Times New Roman"/>
        </w:rPr>
        <w:t>4.2.2稳定性计算</w:t>
      </w:r>
      <w:r>
        <w:tab/>
      </w:r>
      <w:r>
        <w:fldChar w:fldCharType="begin"/>
      </w:r>
      <w:r>
        <w:instrText xml:space="preserve"> PAGEREF _Toc32083 \h </w:instrText>
      </w:r>
      <w:r>
        <w:fldChar w:fldCharType="separate"/>
      </w:r>
      <w:r>
        <w:t>38</w:t>
      </w:r>
      <w:r>
        <w:fldChar w:fldCharType="end"/>
      </w:r>
      <w:r>
        <w:rPr>
          <w:rFonts w:hint="default" w:ascii="Times New Roman" w:hAnsi="Times New Roman" w:cs="Times New Roman"/>
          <w:color w:val="FF0000"/>
          <w:kern w:val="0"/>
          <w:szCs w:val="24"/>
        </w:rPr>
        <w:fldChar w:fldCharType="end"/>
      </w:r>
    </w:p>
    <w:p w14:paraId="6AD7FBB2">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_Toc19932 </w:instrText>
      </w:r>
      <w:r>
        <w:rPr>
          <w:rFonts w:hint="default" w:ascii="Times New Roman" w:hAnsi="Times New Roman" w:cs="Times New Roman"/>
          <w:kern w:val="0"/>
          <w:szCs w:val="24"/>
        </w:rPr>
        <w:fldChar w:fldCharType="separate"/>
      </w:r>
      <w:r>
        <w:rPr>
          <w:rFonts w:hint="default" w:ascii="Times New Roman" w:hAnsi="Times New Roman" w:cs="Times New Roman"/>
        </w:rPr>
        <w:t>4.2.3调洪演算</w:t>
      </w:r>
      <w:r>
        <w:tab/>
      </w:r>
      <w:r>
        <w:fldChar w:fldCharType="begin"/>
      </w:r>
      <w:r>
        <w:instrText xml:space="preserve"> PAGEREF _Toc19932 \h </w:instrText>
      </w:r>
      <w:r>
        <w:fldChar w:fldCharType="separate"/>
      </w:r>
      <w:r>
        <w:t>38</w:t>
      </w:r>
      <w:r>
        <w:fldChar w:fldCharType="end"/>
      </w:r>
      <w:r>
        <w:rPr>
          <w:rFonts w:hint="default" w:ascii="Times New Roman" w:hAnsi="Times New Roman" w:cs="Times New Roman"/>
          <w:color w:val="FF0000"/>
          <w:kern w:val="0"/>
          <w:szCs w:val="24"/>
        </w:rPr>
        <w:fldChar w:fldCharType="end"/>
      </w:r>
    </w:p>
    <w:p w14:paraId="206F00BE">
      <w:pPr>
        <w:pStyle w:val="13"/>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_Toc517 </w:instrText>
      </w:r>
      <w:r>
        <w:rPr>
          <w:rFonts w:hint="default" w:ascii="Times New Roman" w:hAnsi="Times New Roman" w:cs="Times New Roman"/>
          <w:kern w:val="0"/>
          <w:szCs w:val="24"/>
        </w:rPr>
        <w:fldChar w:fldCharType="separate"/>
      </w:r>
      <w:r>
        <w:rPr>
          <w:rFonts w:hint="default" w:ascii="Times New Roman" w:hAnsi="Times New Roman" w:cs="Times New Roman"/>
        </w:rPr>
        <w:t>5</w:t>
      </w:r>
      <w:r>
        <w:rPr>
          <w:rFonts w:hint="default" w:ascii="Times New Roman" w:hAnsi="Times New Roman" w:cs="Times New Roman"/>
          <w:lang w:val="en-US" w:eastAsia="zh-CN"/>
        </w:rPr>
        <w:t>安全</w:t>
      </w:r>
      <w:r>
        <w:rPr>
          <w:rFonts w:hint="default" w:ascii="Times New Roman" w:hAnsi="Times New Roman" w:cs="Times New Roman"/>
        </w:rPr>
        <w:t>评价</w:t>
      </w:r>
      <w:r>
        <w:tab/>
      </w:r>
      <w:r>
        <w:fldChar w:fldCharType="begin"/>
      </w:r>
      <w:r>
        <w:instrText xml:space="preserve"> PAGEREF _Toc517 \h </w:instrText>
      </w:r>
      <w:r>
        <w:fldChar w:fldCharType="separate"/>
      </w:r>
      <w:r>
        <w:t>39</w:t>
      </w:r>
      <w:r>
        <w:fldChar w:fldCharType="end"/>
      </w:r>
      <w:r>
        <w:rPr>
          <w:rFonts w:hint="default" w:ascii="Times New Roman" w:hAnsi="Times New Roman" w:cs="Times New Roman"/>
          <w:color w:val="FF0000"/>
          <w:kern w:val="0"/>
          <w:szCs w:val="24"/>
        </w:rPr>
        <w:fldChar w:fldCharType="end"/>
      </w:r>
    </w:p>
    <w:p w14:paraId="76C71EFA">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_Toc9774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5.1安全管理单元</w:t>
      </w:r>
      <w:r>
        <w:tab/>
      </w:r>
      <w:r>
        <w:fldChar w:fldCharType="begin"/>
      </w:r>
      <w:r>
        <w:instrText xml:space="preserve"> PAGEREF _Toc9774 \h </w:instrText>
      </w:r>
      <w:r>
        <w:fldChar w:fldCharType="separate"/>
      </w:r>
      <w:r>
        <w:t>39</w:t>
      </w:r>
      <w:r>
        <w:fldChar w:fldCharType="end"/>
      </w:r>
      <w:r>
        <w:rPr>
          <w:rFonts w:hint="default" w:ascii="Times New Roman" w:hAnsi="Times New Roman" w:cs="Times New Roman"/>
          <w:color w:val="FF0000"/>
          <w:kern w:val="0"/>
          <w:szCs w:val="24"/>
        </w:rPr>
        <w:fldChar w:fldCharType="end"/>
      </w:r>
    </w:p>
    <w:p w14:paraId="514D957D">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_Toc8694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5.1.1安全管理单元安全检查表法评价</w:t>
      </w:r>
      <w:r>
        <w:tab/>
      </w:r>
      <w:r>
        <w:fldChar w:fldCharType="begin"/>
      </w:r>
      <w:r>
        <w:instrText xml:space="preserve"> PAGEREF _Toc8694 \h </w:instrText>
      </w:r>
      <w:r>
        <w:fldChar w:fldCharType="separate"/>
      </w:r>
      <w:r>
        <w:t>39</w:t>
      </w:r>
      <w:r>
        <w:fldChar w:fldCharType="end"/>
      </w:r>
      <w:r>
        <w:rPr>
          <w:rFonts w:hint="default" w:ascii="Times New Roman" w:hAnsi="Times New Roman" w:cs="Times New Roman"/>
          <w:color w:val="FF0000"/>
          <w:kern w:val="0"/>
          <w:szCs w:val="24"/>
        </w:rPr>
        <w:fldChar w:fldCharType="end"/>
      </w:r>
    </w:p>
    <w:p w14:paraId="401E1BE6">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_Toc14153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5.1.2安全管理单元评价小结</w:t>
      </w:r>
      <w:r>
        <w:tab/>
      </w:r>
      <w:r>
        <w:fldChar w:fldCharType="begin"/>
      </w:r>
      <w:r>
        <w:instrText xml:space="preserve"> PAGEREF _Toc14153 \h </w:instrText>
      </w:r>
      <w:r>
        <w:fldChar w:fldCharType="separate"/>
      </w:r>
      <w:r>
        <w:t>40</w:t>
      </w:r>
      <w:r>
        <w:fldChar w:fldCharType="end"/>
      </w:r>
      <w:r>
        <w:rPr>
          <w:rFonts w:hint="default" w:ascii="Times New Roman" w:hAnsi="Times New Roman" w:cs="Times New Roman"/>
          <w:color w:val="FF0000"/>
          <w:kern w:val="0"/>
          <w:szCs w:val="24"/>
        </w:rPr>
        <w:fldChar w:fldCharType="end"/>
      </w:r>
    </w:p>
    <w:p w14:paraId="0C41EC44">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_Toc22782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5.2尾矿坝单元</w:t>
      </w:r>
      <w:r>
        <w:tab/>
      </w:r>
      <w:r>
        <w:fldChar w:fldCharType="begin"/>
      </w:r>
      <w:r>
        <w:instrText xml:space="preserve"> PAGEREF _Toc22782 \h </w:instrText>
      </w:r>
      <w:r>
        <w:fldChar w:fldCharType="separate"/>
      </w:r>
      <w:r>
        <w:t>41</w:t>
      </w:r>
      <w:r>
        <w:fldChar w:fldCharType="end"/>
      </w:r>
      <w:r>
        <w:rPr>
          <w:rFonts w:hint="default" w:ascii="Times New Roman" w:hAnsi="Times New Roman" w:cs="Times New Roman"/>
          <w:color w:val="FF0000"/>
          <w:kern w:val="0"/>
          <w:szCs w:val="24"/>
        </w:rPr>
        <w:fldChar w:fldCharType="end"/>
      </w:r>
    </w:p>
    <w:p w14:paraId="710A0B85">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_Toc7108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5.2.1尾矿坝单元安全检查表法评价</w:t>
      </w:r>
      <w:r>
        <w:tab/>
      </w:r>
      <w:r>
        <w:fldChar w:fldCharType="begin"/>
      </w:r>
      <w:r>
        <w:instrText xml:space="preserve"> PAGEREF _Toc7108 \h </w:instrText>
      </w:r>
      <w:r>
        <w:fldChar w:fldCharType="separate"/>
      </w:r>
      <w:r>
        <w:t>41</w:t>
      </w:r>
      <w:r>
        <w:fldChar w:fldCharType="end"/>
      </w:r>
      <w:r>
        <w:rPr>
          <w:rFonts w:hint="default" w:ascii="Times New Roman" w:hAnsi="Times New Roman" w:cs="Times New Roman"/>
          <w:color w:val="FF0000"/>
          <w:kern w:val="0"/>
          <w:szCs w:val="24"/>
        </w:rPr>
        <w:fldChar w:fldCharType="end"/>
      </w:r>
    </w:p>
    <w:p w14:paraId="765F4EAE">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_Toc13555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5.2.2 尾矿坝稳定性分析</w:t>
      </w:r>
      <w:r>
        <w:tab/>
      </w:r>
      <w:r>
        <w:fldChar w:fldCharType="begin"/>
      </w:r>
      <w:r>
        <w:instrText xml:space="preserve"> PAGEREF _Toc13555 \h </w:instrText>
      </w:r>
      <w:r>
        <w:fldChar w:fldCharType="separate"/>
      </w:r>
      <w:r>
        <w:t>44</w:t>
      </w:r>
      <w:r>
        <w:fldChar w:fldCharType="end"/>
      </w:r>
      <w:r>
        <w:rPr>
          <w:rFonts w:hint="default" w:ascii="Times New Roman" w:hAnsi="Times New Roman" w:cs="Times New Roman"/>
          <w:color w:val="FF0000"/>
          <w:kern w:val="0"/>
          <w:szCs w:val="24"/>
        </w:rPr>
        <w:fldChar w:fldCharType="end"/>
      </w:r>
    </w:p>
    <w:p w14:paraId="3852EEBA">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_Toc31055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5.2.3</w:t>
      </w:r>
      <w:r>
        <w:rPr>
          <w:rFonts w:hint="default" w:ascii="Times New Roman" w:hAnsi="Times New Roman" w:cs="Times New Roman"/>
        </w:rPr>
        <w:t>尾矿坝单元评价小结</w:t>
      </w:r>
      <w:r>
        <w:tab/>
      </w:r>
      <w:r>
        <w:fldChar w:fldCharType="begin"/>
      </w:r>
      <w:r>
        <w:instrText xml:space="preserve"> PAGEREF _Toc31055 \h </w:instrText>
      </w:r>
      <w:r>
        <w:fldChar w:fldCharType="separate"/>
      </w:r>
      <w:r>
        <w:t>49</w:t>
      </w:r>
      <w:r>
        <w:fldChar w:fldCharType="end"/>
      </w:r>
      <w:r>
        <w:rPr>
          <w:rFonts w:hint="default" w:ascii="Times New Roman" w:hAnsi="Times New Roman" w:cs="Times New Roman"/>
          <w:color w:val="FF0000"/>
          <w:kern w:val="0"/>
          <w:szCs w:val="24"/>
        </w:rPr>
        <w:fldChar w:fldCharType="end"/>
      </w:r>
    </w:p>
    <w:p w14:paraId="295F2E8A">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_Toc7986 </w:instrText>
      </w:r>
      <w:r>
        <w:rPr>
          <w:rFonts w:hint="default" w:ascii="Times New Roman" w:hAnsi="Times New Roman" w:cs="Times New Roman"/>
          <w:kern w:val="0"/>
          <w:szCs w:val="24"/>
        </w:rPr>
        <w:fldChar w:fldCharType="separate"/>
      </w:r>
      <w:r>
        <w:rPr>
          <w:rFonts w:hint="default" w:ascii="Times New Roman" w:hAnsi="Times New Roman" w:cs="Times New Roman"/>
        </w:rPr>
        <w:t>5.3防排洪系统单元</w:t>
      </w:r>
      <w:r>
        <w:tab/>
      </w:r>
      <w:r>
        <w:fldChar w:fldCharType="begin"/>
      </w:r>
      <w:r>
        <w:instrText xml:space="preserve"> PAGEREF _Toc7986 \h </w:instrText>
      </w:r>
      <w:r>
        <w:fldChar w:fldCharType="separate"/>
      </w:r>
      <w:r>
        <w:t>49</w:t>
      </w:r>
      <w:r>
        <w:fldChar w:fldCharType="end"/>
      </w:r>
      <w:r>
        <w:rPr>
          <w:rFonts w:hint="default" w:ascii="Times New Roman" w:hAnsi="Times New Roman" w:cs="Times New Roman"/>
          <w:color w:val="FF0000"/>
          <w:kern w:val="0"/>
          <w:szCs w:val="24"/>
        </w:rPr>
        <w:fldChar w:fldCharType="end"/>
      </w:r>
    </w:p>
    <w:p w14:paraId="31F0AFAD">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_Toc11417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5.3.1防排洪系统单元安全检查表法评价</w:t>
      </w:r>
      <w:r>
        <w:tab/>
      </w:r>
      <w:r>
        <w:fldChar w:fldCharType="begin"/>
      </w:r>
      <w:r>
        <w:instrText xml:space="preserve"> PAGEREF _Toc11417 \h </w:instrText>
      </w:r>
      <w:r>
        <w:fldChar w:fldCharType="separate"/>
      </w:r>
      <w:r>
        <w:t>49</w:t>
      </w:r>
      <w:r>
        <w:fldChar w:fldCharType="end"/>
      </w:r>
      <w:r>
        <w:rPr>
          <w:rFonts w:hint="default" w:ascii="Times New Roman" w:hAnsi="Times New Roman" w:cs="Times New Roman"/>
          <w:color w:val="FF0000"/>
          <w:kern w:val="0"/>
          <w:szCs w:val="24"/>
        </w:rPr>
        <w:fldChar w:fldCharType="end"/>
      </w:r>
    </w:p>
    <w:p w14:paraId="7F27FEB4">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_Toc16227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5.3.2调洪演算</w:t>
      </w:r>
      <w:r>
        <w:tab/>
      </w:r>
      <w:r>
        <w:fldChar w:fldCharType="begin"/>
      </w:r>
      <w:r>
        <w:instrText xml:space="preserve"> PAGEREF _Toc16227 \h </w:instrText>
      </w:r>
      <w:r>
        <w:fldChar w:fldCharType="separate"/>
      </w:r>
      <w:r>
        <w:t>51</w:t>
      </w:r>
      <w:r>
        <w:fldChar w:fldCharType="end"/>
      </w:r>
      <w:r>
        <w:rPr>
          <w:rFonts w:hint="default" w:ascii="Times New Roman" w:hAnsi="Times New Roman" w:cs="Times New Roman"/>
          <w:color w:val="FF0000"/>
          <w:kern w:val="0"/>
          <w:szCs w:val="24"/>
        </w:rPr>
        <w:fldChar w:fldCharType="end"/>
      </w:r>
    </w:p>
    <w:p w14:paraId="76427CE6">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_Toc28024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5.3.3防排洪系统单元评价小结</w:t>
      </w:r>
      <w:r>
        <w:tab/>
      </w:r>
      <w:r>
        <w:fldChar w:fldCharType="begin"/>
      </w:r>
      <w:r>
        <w:instrText xml:space="preserve"> PAGEREF _Toc28024 \h </w:instrText>
      </w:r>
      <w:r>
        <w:fldChar w:fldCharType="separate"/>
      </w:r>
      <w:r>
        <w:t>60</w:t>
      </w:r>
      <w:r>
        <w:fldChar w:fldCharType="end"/>
      </w:r>
      <w:r>
        <w:rPr>
          <w:rFonts w:hint="default" w:ascii="Times New Roman" w:hAnsi="Times New Roman" w:cs="Times New Roman"/>
          <w:color w:val="FF0000"/>
          <w:kern w:val="0"/>
          <w:szCs w:val="24"/>
        </w:rPr>
        <w:fldChar w:fldCharType="end"/>
      </w:r>
    </w:p>
    <w:p w14:paraId="65F5E4BB">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_Toc10640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5.4 安全监测设施单元</w:t>
      </w:r>
      <w:r>
        <w:tab/>
      </w:r>
      <w:r>
        <w:fldChar w:fldCharType="begin"/>
      </w:r>
      <w:r>
        <w:instrText xml:space="preserve"> PAGEREF _Toc10640 \h </w:instrText>
      </w:r>
      <w:r>
        <w:fldChar w:fldCharType="separate"/>
      </w:r>
      <w:r>
        <w:t>60</w:t>
      </w:r>
      <w:r>
        <w:fldChar w:fldCharType="end"/>
      </w:r>
      <w:r>
        <w:rPr>
          <w:rFonts w:hint="default" w:ascii="Times New Roman" w:hAnsi="Times New Roman" w:cs="Times New Roman"/>
          <w:color w:val="FF0000"/>
          <w:kern w:val="0"/>
          <w:szCs w:val="24"/>
        </w:rPr>
        <w:fldChar w:fldCharType="end"/>
      </w:r>
    </w:p>
    <w:p w14:paraId="4A8CFDC9">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_Toc30000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5.4.1 安全检查法评价</w:t>
      </w:r>
      <w:r>
        <w:tab/>
      </w:r>
      <w:r>
        <w:fldChar w:fldCharType="begin"/>
      </w:r>
      <w:r>
        <w:instrText xml:space="preserve"> PAGEREF _Toc30000 \h </w:instrText>
      </w:r>
      <w:r>
        <w:fldChar w:fldCharType="separate"/>
      </w:r>
      <w:r>
        <w:t>60</w:t>
      </w:r>
      <w:r>
        <w:fldChar w:fldCharType="end"/>
      </w:r>
      <w:r>
        <w:rPr>
          <w:rFonts w:hint="default" w:ascii="Times New Roman" w:hAnsi="Times New Roman" w:cs="Times New Roman"/>
          <w:color w:val="FF0000"/>
          <w:kern w:val="0"/>
          <w:szCs w:val="24"/>
        </w:rPr>
        <w:fldChar w:fldCharType="end"/>
      </w:r>
    </w:p>
    <w:p w14:paraId="7328DC38">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_Toc22983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5.5 库区环境单元</w:t>
      </w:r>
      <w:r>
        <w:tab/>
      </w:r>
      <w:r>
        <w:fldChar w:fldCharType="begin"/>
      </w:r>
      <w:r>
        <w:instrText xml:space="preserve"> PAGEREF _Toc22983 \h </w:instrText>
      </w:r>
      <w:r>
        <w:fldChar w:fldCharType="separate"/>
      </w:r>
      <w:r>
        <w:t>61</w:t>
      </w:r>
      <w:r>
        <w:fldChar w:fldCharType="end"/>
      </w:r>
      <w:r>
        <w:rPr>
          <w:rFonts w:hint="default" w:ascii="Times New Roman" w:hAnsi="Times New Roman" w:cs="Times New Roman"/>
          <w:color w:val="FF0000"/>
          <w:kern w:val="0"/>
          <w:szCs w:val="24"/>
        </w:rPr>
        <w:fldChar w:fldCharType="end"/>
      </w:r>
    </w:p>
    <w:p w14:paraId="2AB319E9">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_Toc16395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5.5.1 安全检查表评价</w:t>
      </w:r>
      <w:r>
        <w:tab/>
      </w:r>
      <w:r>
        <w:fldChar w:fldCharType="begin"/>
      </w:r>
      <w:r>
        <w:instrText xml:space="preserve"> PAGEREF _Toc16395 \h </w:instrText>
      </w:r>
      <w:r>
        <w:fldChar w:fldCharType="separate"/>
      </w:r>
      <w:r>
        <w:t>61</w:t>
      </w:r>
      <w:r>
        <w:fldChar w:fldCharType="end"/>
      </w:r>
      <w:r>
        <w:rPr>
          <w:rFonts w:hint="default" w:ascii="Times New Roman" w:hAnsi="Times New Roman" w:cs="Times New Roman"/>
          <w:color w:val="FF0000"/>
          <w:kern w:val="0"/>
          <w:szCs w:val="24"/>
        </w:rPr>
        <w:fldChar w:fldCharType="end"/>
      </w:r>
    </w:p>
    <w:p w14:paraId="29D8AACF">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_Toc20949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5.5.2 评价单元小结</w:t>
      </w:r>
      <w:r>
        <w:tab/>
      </w:r>
      <w:r>
        <w:fldChar w:fldCharType="begin"/>
      </w:r>
      <w:r>
        <w:instrText xml:space="preserve"> PAGEREF _Toc20949 \h </w:instrText>
      </w:r>
      <w:r>
        <w:fldChar w:fldCharType="separate"/>
      </w:r>
      <w:r>
        <w:t>61</w:t>
      </w:r>
      <w:r>
        <w:fldChar w:fldCharType="end"/>
      </w:r>
      <w:r>
        <w:rPr>
          <w:rFonts w:hint="default" w:ascii="Times New Roman" w:hAnsi="Times New Roman" w:cs="Times New Roman"/>
          <w:color w:val="FF0000"/>
          <w:kern w:val="0"/>
          <w:szCs w:val="24"/>
        </w:rPr>
        <w:fldChar w:fldCharType="end"/>
      </w:r>
    </w:p>
    <w:p w14:paraId="77E61D85">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_Toc3236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5.6综合安全评价</w:t>
      </w:r>
      <w:r>
        <w:tab/>
      </w:r>
      <w:r>
        <w:fldChar w:fldCharType="begin"/>
      </w:r>
      <w:r>
        <w:instrText xml:space="preserve"> PAGEREF _Toc3236 \h </w:instrText>
      </w:r>
      <w:r>
        <w:fldChar w:fldCharType="separate"/>
      </w:r>
      <w:r>
        <w:t>62</w:t>
      </w:r>
      <w:r>
        <w:fldChar w:fldCharType="end"/>
      </w:r>
      <w:r>
        <w:rPr>
          <w:rFonts w:hint="default" w:ascii="Times New Roman" w:hAnsi="Times New Roman" w:cs="Times New Roman"/>
          <w:color w:val="FF0000"/>
          <w:kern w:val="0"/>
          <w:szCs w:val="24"/>
        </w:rPr>
        <w:fldChar w:fldCharType="end"/>
      </w:r>
    </w:p>
    <w:p w14:paraId="6D807AED">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_Toc4580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5.6.1概述</w:t>
      </w:r>
      <w:r>
        <w:tab/>
      </w:r>
      <w:r>
        <w:fldChar w:fldCharType="begin"/>
      </w:r>
      <w:r>
        <w:instrText xml:space="preserve"> PAGEREF _Toc4580 \h </w:instrText>
      </w:r>
      <w:r>
        <w:fldChar w:fldCharType="separate"/>
      </w:r>
      <w:r>
        <w:t>62</w:t>
      </w:r>
      <w:r>
        <w:fldChar w:fldCharType="end"/>
      </w:r>
      <w:r>
        <w:rPr>
          <w:rFonts w:hint="default" w:ascii="Times New Roman" w:hAnsi="Times New Roman" w:cs="Times New Roman"/>
          <w:color w:val="FF0000"/>
          <w:kern w:val="0"/>
          <w:szCs w:val="24"/>
        </w:rPr>
        <w:fldChar w:fldCharType="end"/>
      </w:r>
    </w:p>
    <w:p w14:paraId="3AED0891">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_Toc3726 </w:instrText>
      </w:r>
      <w:r>
        <w:rPr>
          <w:rFonts w:hint="default" w:ascii="Times New Roman" w:hAnsi="Times New Roman" w:cs="Times New Roman"/>
          <w:kern w:val="0"/>
          <w:szCs w:val="24"/>
        </w:rPr>
        <w:fldChar w:fldCharType="separate"/>
      </w:r>
      <w:r>
        <w:rPr>
          <w:rFonts w:hint="default" w:ascii="Times New Roman" w:hAnsi="Times New Roman" w:cs="Times New Roman"/>
        </w:rPr>
        <w:t>5.6.2评价标准说明</w:t>
      </w:r>
      <w:r>
        <w:tab/>
      </w:r>
      <w:r>
        <w:fldChar w:fldCharType="begin"/>
      </w:r>
      <w:r>
        <w:instrText xml:space="preserve"> PAGEREF _Toc3726 \h </w:instrText>
      </w:r>
      <w:r>
        <w:fldChar w:fldCharType="separate"/>
      </w:r>
      <w:r>
        <w:t>62</w:t>
      </w:r>
      <w:r>
        <w:fldChar w:fldCharType="end"/>
      </w:r>
      <w:r>
        <w:rPr>
          <w:rFonts w:hint="default" w:ascii="Times New Roman" w:hAnsi="Times New Roman" w:cs="Times New Roman"/>
          <w:color w:val="FF0000"/>
          <w:kern w:val="0"/>
          <w:szCs w:val="24"/>
        </w:rPr>
        <w:fldChar w:fldCharType="end"/>
      </w:r>
    </w:p>
    <w:p w14:paraId="67302D69">
      <w:pPr>
        <w:pStyle w:val="9"/>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_Toc11008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5.6.3评价小结</w:t>
      </w:r>
      <w:r>
        <w:tab/>
      </w:r>
      <w:r>
        <w:fldChar w:fldCharType="begin"/>
      </w:r>
      <w:r>
        <w:instrText xml:space="preserve"> PAGEREF _Toc11008 \h </w:instrText>
      </w:r>
      <w:r>
        <w:fldChar w:fldCharType="separate"/>
      </w:r>
      <w:r>
        <w:t>63</w:t>
      </w:r>
      <w:r>
        <w:fldChar w:fldCharType="end"/>
      </w:r>
      <w:r>
        <w:rPr>
          <w:rFonts w:hint="default" w:ascii="Times New Roman" w:hAnsi="Times New Roman" w:cs="Times New Roman"/>
          <w:color w:val="FF0000"/>
          <w:kern w:val="0"/>
          <w:szCs w:val="24"/>
        </w:rPr>
        <w:fldChar w:fldCharType="end"/>
      </w:r>
    </w:p>
    <w:p w14:paraId="6E64E2B2">
      <w:pPr>
        <w:pStyle w:val="13"/>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_Toc14150 </w:instrText>
      </w:r>
      <w:r>
        <w:rPr>
          <w:rFonts w:hint="default" w:ascii="Times New Roman" w:hAnsi="Times New Roman" w:cs="Times New Roman"/>
          <w:kern w:val="0"/>
          <w:szCs w:val="24"/>
        </w:rPr>
        <w:fldChar w:fldCharType="separate"/>
      </w:r>
      <w:r>
        <w:rPr>
          <w:rFonts w:hint="default" w:ascii="Times New Roman" w:hAnsi="Times New Roman" w:cs="Times New Roman"/>
          <w:lang w:val="en-US" w:eastAsia="zh-CN"/>
        </w:rPr>
        <w:t>6尾矿库安全对策措施建议</w:t>
      </w:r>
      <w:r>
        <w:tab/>
      </w:r>
      <w:r>
        <w:fldChar w:fldCharType="begin"/>
      </w:r>
      <w:r>
        <w:instrText xml:space="preserve"> PAGEREF _Toc14150 \h </w:instrText>
      </w:r>
      <w:r>
        <w:fldChar w:fldCharType="separate"/>
      </w:r>
      <w:r>
        <w:t>64</w:t>
      </w:r>
      <w:r>
        <w:fldChar w:fldCharType="end"/>
      </w:r>
      <w:r>
        <w:rPr>
          <w:rFonts w:hint="default" w:ascii="Times New Roman" w:hAnsi="Times New Roman" w:cs="Times New Roman"/>
          <w:color w:val="FF0000"/>
          <w:kern w:val="0"/>
          <w:szCs w:val="24"/>
        </w:rPr>
        <w:fldChar w:fldCharType="end"/>
      </w:r>
    </w:p>
    <w:p w14:paraId="0D189D97">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_Toc25297 </w:instrText>
      </w:r>
      <w:r>
        <w:rPr>
          <w:rFonts w:hint="default" w:ascii="Times New Roman" w:hAnsi="Times New Roman" w:cs="Times New Roman"/>
          <w:kern w:val="0"/>
          <w:szCs w:val="24"/>
        </w:rPr>
        <w:fldChar w:fldCharType="separate"/>
      </w:r>
      <w:r>
        <w:rPr>
          <w:rFonts w:hint="default"/>
          <w:lang w:val="en-US" w:eastAsia="zh-CN"/>
        </w:rPr>
        <w:t>6.1 安全管理单元的安全对策措施</w:t>
      </w:r>
      <w:r>
        <w:tab/>
      </w:r>
      <w:r>
        <w:fldChar w:fldCharType="begin"/>
      </w:r>
      <w:r>
        <w:instrText xml:space="preserve"> PAGEREF _Toc25297 \h </w:instrText>
      </w:r>
      <w:r>
        <w:fldChar w:fldCharType="separate"/>
      </w:r>
      <w:r>
        <w:t>64</w:t>
      </w:r>
      <w:r>
        <w:fldChar w:fldCharType="end"/>
      </w:r>
      <w:r>
        <w:rPr>
          <w:rFonts w:hint="default" w:ascii="Times New Roman" w:hAnsi="Times New Roman" w:cs="Times New Roman"/>
          <w:color w:val="FF0000"/>
          <w:kern w:val="0"/>
          <w:szCs w:val="24"/>
        </w:rPr>
        <w:fldChar w:fldCharType="end"/>
      </w:r>
    </w:p>
    <w:p w14:paraId="20419678">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_Toc20362 </w:instrText>
      </w:r>
      <w:r>
        <w:rPr>
          <w:rFonts w:hint="default" w:ascii="Times New Roman" w:hAnsi="Times New Roman" w:cs="Times New Roman"/>
          <w:kern w:val="0"/>
          <w:szCs w:val="24"/>
        </w:rPr>
        <w:fldChar w:fldCharType="separate"/>
      </w:r>
      <w:r>
        <w:rPr>
          <w:rFonts w:hint="default"/>
          <w:lang w:val="en-US" w:eastAsia="zh-CN"/>
        </w:rPr>
        <w:t>6.2 尾矿坝单元的安全对策措施</w:t>
      </w:r>
      <w:r>
        <w:tab/>
      </w:r>
      <w:r>
        <w:fldChar w:fldCharType="begin"/>
      </w:r>
      <w:r>
        <w:instrText xml:space="preserve"> PAGEREF _Toc20362 \h </w:instrText>
      </w:r>
      <w:r>
        <w:fldChar w:fldCharType="separate"/>
      </w:r>
      <w:r>
        <w:t>64</w:t>
      </w:r>
      <w:r>
        <w:fldChar w:fldCharType="end"/>
      </w:r>
      <w:r>
        <w:rPr>
          <w:rFonts w:hint="default" w:ascii="Times New Roman" w:hAnsi="Times New Roman" w:cs="Times New Roman"/>
          <w:color w:val="FF0000"/>
          <w:kern w:val="0"/>
          <w:szCs w:val="24"/>
        </w:rPr>
        <w:fldChar w:fldCharType="end"/>
      </w:r>
    </w:p>
    <w:p w14:paraId="549D55EB">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_Toc23046 </w:instrText>
      </w:r>
      <w:r>
        <w:rPr>
          <w:rFonts w:hint="default" w:ascii="Times New Roman" w:hAnsi="Times New Roman" w:cs="Times New Roman"/>
          <w:kern w:val="0"/>
          <w:szCs w:val="24"/>
        </w:rPr>
        <w:fldChar w:fldCharType="separate"/>
      </w:r>
      <w:r>
        <w:rPr>
          <w:rFonts w:hint="default"/>
          <w:lang w:val="en-US" w:eastAsia="zh-CN"/>
        </w:rPr>
        <w:t>6.3 安全观测设施单元的安全对策措施</w:t>
      </w:r>
      <w:r>
        <w:tab/>
      </w:r>
      <w:r>
        <w:fldChar w:fldCharType="begin"/>
      </w:r>
      <w:r>
        <w:instrText xml:space="preserve"> PAGEREF _Toc23046 \h </w:instrText>
      </w:r>
      <w:r>
        <w:fldChar w:fldCharType="separate"/>
      </w:r>
      <w:r>
        <w:t>64</w:t>
      </w:r>
      <w:r>
        <w:fldChar w:fldCharType="end"/>
      </w:r>
      <w:r>
        <w:rPr>
          <w:rFonts w:hint="default" w:ascii="Times New Roman" w:hAnsi="Times New Roman" w:cs="Times New Roman"/>
          <w:color w:val="FF0000"/>
          <w:kern w:val="0"/>
          <w:szCs w:val="24"/>
        </w:rPr>
        <w:fldChar w:fldCharType="end"/>
      </w:r>
    </w:p>
    <w:p w14:paraId="696D1D3E">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_Toc11400 </w:instrText>
      </w:r>
      <w:r>
        <w:rPr>
          <w:rFonts w:hint="default" w:ascii="Times New Roman" w:hAnsi="Times New Roman" w:cs="Times New Roman"/>
          <w:kern w:val="0"/>
          <w:szCs w:val="24"/>
        </w:rPr>
        <w:fldChar w:fldCharType="separate"/>
      </w:r>
      <w:r>
        <w:rPr>
          <w:rFonts w:hint="default"/>
          <w:lang w:val="en-US" w:eastAsia="zh-CN"/>
        </w:rPr>
        <w:t>6.4 排洪系统单元的安全对策措施</w:t>
      </w:r>
      <w:r>
        <w:tab/>
      </w:r>
      <w:r>
        <w:fldChar w:fldCharType="begin"/>
      </w:r>
      <w:r>
        <w:instrText xml:space="preserve"> PAGEREF _Toc11400 \h </w:instrText>
      </w:r>
      <w:r>
        <w:fldChar w:fldCharType="separate"/>
      </w:r>
      <w:r>
        <w:t>64</w:t>
      </w:r>
      <w:r>
        <w:fldChar w:fldCharType="end"/>
      </w:r>
      <w:r>
        <w:rPr>
          <w:rFonts w:hint="default" w:ascii="Times New Roman" w:hAnsi="Times New Roman" w:cs="Times New Roman"/>
          <w:color w:val="FF0000"/>
          <w:kern w:val="0"/>
          <w:szCs w:val="24"/>
        </w:rPr>
        <w:fldChar w:fldCharType="end"/>
      </w:r>
    </w:p>
    <w:p w14:paraId="7717377B">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_Toc29518 </w:instrText>
      </w:r>
      <w:r>
        <w:rPr>
          <w:rFonts w:hint="default" w:ascii="Times New Roman" w:hAnsi="Times New Roman" w:cs="Times New Roman"/>
          <w:kern w:val="0"/>
          <w:szCs w:val="24"/>
        </w:rPr>
        <w:fldChar w:fldCharType="separate"/>
      </w:r>
      <w:r>
        <w:rPr>
          <w:rFonts w:hint="default"/>
          <w:lang w:val="en-US" w:eastAsia="zh-CN"/>
        </w:rPr>
        <w:t>6.5 安全辅助设施单元的安全对策措施</w:t>
      </w:r>
      <w:r>
        <w:tab/>
      </w:r>
      <w:r>
        <w:fldChar w:fldCharType="begin"/>
      </w:r>
      <w:r>
        <w:instrText xml:space="preserve"> PAGEREF _Toc29518 \h </w:instrText>
      </w:r>
      <w:r>
        <w:fldChar w:fldCharType="separate"/>
      </w:r>
      <w:r>
        <w:t>65</w:t>
      </w:r>
      <w:r>
        <w:fldChar w:fldCharType="end"/>
      </w:r>
      <w:r>
        <w:rPr>
          <w:rFonts w:hint="default" w:ascii="Times New Roman" w:hAnsi="Times New Roman" w:cs="Times New Roman"/>
          <w:color w:val="FF0000"/>
          <w:kern w:val="0"/>
          <w:szCs w:val="24"/>
        </w:rPr>
        <w:fldChar w:fldCharType="end"/>
      </w:r>
    </w:p>
    <w:p w14:paraId="734246DC">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_Toc26510 </w:instrText>
      </w:r>
      <w:r>
        <w:rPr>
          <w:rFonts w:hint="default" w:ascii="Times New Roman" w:hAnsi="Times New Roman" w:cs="Times New Roman"/>
          <w:kern w:val="0"/>
          <w:szCs w:val="24"/>
        </w:rPr>
        <w:fldChar w:fldCharType="separate"/>
      </w:r>
      <w:r>
        <w:rPr>
          <w:rFonts w:hint="default"/>
          <w:lang w:val="en-US" w:eastAsia="zh-CN"/>
        </w:rPr>
        <w:t>6.6 库区及周边条件规定</w:t>
      </w:r>
      <w:r>
        <w:tab/>
      </w:r>
      <w:r>
        <w:fldChar w:fldCharType="begin"/>
      </w:r>
      <w:r>
        <w:instrText xml:space="preserve"> PAGEREF _Toc26510 \h </w:instrText>
      </w:r>
      <w:r>
        <w:fldChar w:fldCharType="separate"/>
      </w:r>
      <w:r>
        <w:t>65</w:t>
      </w:r>
      <w:r>
        <w:fldChar w:fldCharType="end"/>
      </w:r>
      <w:r>
        <w:rPr>
          <w:rFonts w:hint="default" w:ascii="Times New Roman" w:hAnsi="Times New Roman" w:cs="Times New Roman"/>
          <w:color w:val="FF0000"/>
          <w:kern w:val="0"/>
          <w:szCs w:val="24"/>
        </w:rPr>
        <w:fldChar w:fldCharType="end"/>
      </w:r>
    </w:p>
    <w:p w14:paraId="4EDBDC3F">
      <w:pPr>
        <w:pStyle w:val="13"/>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_Toc26312 </w:instrText>
      </w:r>
      <w:r>
        <w:rPr>
          <w:rFonts w:hint="default" w:ascii="Times New Roman" w:hAnsi="Times New Roman" w:cs="Times New Roman"/>
          <w:kern w:val="0"/>
          <w:szCs w:val="24"/>
        </w:rPr>
        <w:fldChar w:fldCharType="separate"/>
      </w:r>
      <w:r>
        <w:rPr>
          <w:rFonts w:hint="eastAsia" w:cs="Times New Roman"/>
          <w:lang w:val="en-US" w:eastAsia="zh-CN"/>
        </w:rPr>
        <w:t>7</w:t>
      </w:r>
      <w:r>
        <w:rPr>
          <w:rFonts w:hint="default" w:ascii="Times New Roman" w:hAnsi="Times New Roman" w:cs="Times New Roman"/>
        </w:rPr>
        <w:t>安全评价结论</w:t>
      </w:r>
      <w:r>
        <w:tab/>
      </w:r>
      <w:r>
        <w:fldChar w:fldCharType="begin"/>
      </w:r>
      <w:r>
        <w:instrText xml:space="preserve"> PAGEREF _Toc26312 \h </w:instrText>
      </w:r>
      <w:r>
        <w:fldChar w:fldCharType="separate"/>
      </w:r>
      <w:r>
        <w:t>66</w:t>
      </w:r>
      <w:r>
        <w:fldChar w:fldCharType="end"/>
      </w:r>
      <w:r>
        <w:rPr>
          <w:rFonts w:hint="default" w:ascii="Times New Roman" w:hAnsi="Times New Roman" w:cs="Times New Roman"/>
          <w:color w:val="FF0000"/>
          <w:kern w:val="0"/>
          <w:szCs w:val="24"/>
        </w:rPr>
        <w:fldChar w:fldCharType="end"/>
      </w:r>
    </w:p>
    <w:p w14:paraId="0309B8DA">
      <w:pPr>
        <w:pStyle w:val="13"/>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_Toc29722 </w:instrText>
      </w:r>
      <w:r>
        <w:rPr>
          <w:rFonts w:hint="default" w:ascii="Times New Roman" w:hAnsi="Times New Roman" w:cs="Times New Roman"/>
          <w:kern w:val="0"/>
          <w:szCs w:val="24"/>
        </w:rPr>
        <w:fldChar w:fldCharType="separate"/>
      </w:r>
      <w:r>
        <w:rPr>
          <w:rFonts w:hint="eastAsia" w:cs="Times New Roman"/>
          <w:lang w:val="en-US" w:eastAsia="zh-CN"/>
        </w:rPr>
        <w:t>8</w:t>
      </w:r>
      <w:r>
        <w:rPr>
          <w:rFonts w:hint="default" w:ascii="Times New Roman" w:hAnsi="Times New Roman" w:cs="Times New Roman"/>
        </w:rPr>
        <w:t>附图附件</w:t>
      </w:r>
      <w:r>
        <w:tab/>
      </w:r>
      <w:r>
        <w:fldChar w:fldCharType="begin"/>
      </w:r>
      <w:r>
        <w:instrText xml:space="preserve"> PAGEREF _Toc29722 \h </w:instrText>
      </w:r>
      <w:r>
        <w:fldChar w:fldCharType="separate"/>
      </w:r>
      <w:r>
        <w:t>68</w:t>
      </w:r>
      <w:r>
        <w:fldChar w:fldCharType="end"/>
      </w:r>
      <w:r>
        <w:rPr>
          <w:rFonts w:hint="default" w:ascii="Times New Roman" w:hAnsi="Times New Roman" w:cs="Times New Roman"/>
          <w:color w:val="FF0000"/>
          <w:kern w:val="0"/>
          <w:szCs w:val="24"/>
        </w:rPr>
        <w:fldChar w:fldCharType="end"/>
      </w:r>
    </w:p>
    <w:p w14:paraId="07E8A105">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_Toc3671 </w:instrText>
      </w:r>
      <w:r>
        <w:rPr>
          <w:rFonts w:hint="default" w:ascii="Times New Roman" w:hAnsi="Times New Roman" w:cs="Times New Roman"/>
          <w:kern w:val="0"/>
          <w:szCs w:val="24"/>
        </w:rPr>
        <w:fldChar w:fldCharType="separate"/>
      </w:r>
      <w:r>
        <w:rPr>
          <w:rFonts w:hint="eastAsia" w:cs="Times New Roman"/>
          <w:lang w:val="en-US" w:eastAsia="zh-CN"/>
        </w:rPr>
        <w:t>8</w:t>
      </w:r>
      <w:r>
        <w:rPr>
          <w:rFonts w:hint="default" w:ascii="Times New Roman" w:hAnsi="Times New Roman" w:cs="Times New Roman"/>
        </w:rPr>
        <w:t>.1</w:t>
      </w:r>
      <w:r>
        <w:rPr>
          <w:rFonts w:hint="eastAsia" w:cs="Times New Roman"/>
          <w:lang w:val="en-US" w:eastAsia="zh-CN"/>
        </w:rPr>
        <w:t>附图</w:t>
      </w:r>
      <w:r>
        <w:tab/>
      </w:r>
      <w:r>
        <w:fldChar w:fldCharType="begin"/>
      </w:r>
      <w:r>
        <w:instrText xml:space="preserve"> PAGEREF _Toc3671 \h </w:instrText>
      </w:r>
      <w:r>
        <w:fldChar w:fldCharType="separate"/>
      </w:r>
      <w:r>
        <w:t>68</w:t>
      </w:r>
      <w:r>
        <w:fldChar w:fldCharType="end"/>
      </w:r>
      <w:r>
        <w:rPr>
          <w:rFonts w:hint="default" w:ascii="Times New Roman" w:hAnsi="Times New Roman" w:cs="Times New Roman"/>
          <w:color w:val="FF0000"/>
          <w:kern w:val="0"/>
          <w:szCs w:val="24"/>
        </w:rPr>
        <w:fldChar w:fldCharType="end"/>
      </w:r>
    </w:p>
    <w:p w14:paraId="6BCC49B8">
      <w:pPr>
        <w:pStyle w:val="14"/>
        <w:tabs>
          <w:tab w:val="right" w:leader="dot" w:pos="9070"/>
        </w:tabs>
      </w:pPr>
      <w:r>
        <w:rPr>
          <w:rFonts w:hint="default" w:ascii="Times New Roman" w:hAnsi="Times New Roman" w:cs="Times New Roman"/>
          <w:color w:val="FF0000"/>
          <w:kern w:val="0"/>
          <w:szCs w:val="24"/>
        </w:rPr>
        <w:fldChar w:fldCharType="begin"/>
      </w:r>
      <w:r>
        <w:rPr>
          <w:rFonts w:hint="default" w:ascii="Times New Roman" w:hAnsi="Times New Roman" w:cs="Times New Roman"/>
          <w:kern w:val="0"/>
          <w:szCs w:val="24"/>
        </w:rPr>
        <w:instrText xml:space="preserve"> HYPERLINK \l _Toc3958 </w:instrText>
      </w:r>
      <w:r>
        <w:rPr>
          <w:rFonts w:hint="default" w:ascii="Times New Roman" w:hAnsi="Times New Roman" w:cs="Times New Roman"/>
          <w:kern w:val="0"/>
          <w:szCs w:val="24"/>
        </w:rPr>
        <w:fldChar w:fldCharType="separate"/>
      </w:r>
      <w:r>
        <w:rPr>
          <w:rFonts w:hint="eastAsia" w:cs="Times New Roman"/>
          <w:lang w:val="en-US" w:eastAsia="zh-CN"/>
        </w:rPr>
        <w:t>8</w:t>
      </w:r>
      <w:r>
        <w:rPr>
          <w:rFonts w:hint="default" w:ascii="Times New Roman" w:hAnsi="Times New Roman" w:cs="Times New Roman"/>
        </w:rPr>
        <w:t>.2附件</w:t>
      </w:r>
      <w:r>
        <w:tab/>
      </w:r>
      <w:r>
        <w:fldChar w:fldCharType="begin"/>
      </w:r>
      <w:r>
        <w:instrText xml:space="preserve"> PAGEREF _Toc3958 \h </w:instrText>
      </w:r>
      <w:r>
        <w:fldChar w:fldCharType="separate"/>
      </w:r>
      <w:r>
        <w:t>68</w:t>
      </w:r>
      <w:r>
        <w:fldChar w:fldCharType="end"/>
      </w:r>
      <w:r>
        <w:rPr>
          <w:rFonts w:hint="default" w:ascii="Times New Roman" w:hAnsi="Times New Roman" w:cs="Times New Roman"/>
          <w:color w:val="FF0000"/>
          <w:kern w:val="0"/>
          <w:szCs w:val="24"/>
        </w:rPr>
        <w:fldChar w:fldCharType="end"/>
      </w:r>
    </w:p>
    <w:p w14:paraId="54CAD0B0">
      <w:pPr>
        <w:keepNext w:val="0"/>
        <w:keepLines w:val="0"/>
        <w:pageBreakBefore w:val="0"/>
        <w:widowControl w:val="0"/>
        <w:kinsoku/>
        <w:wordWrap/>
        <w:overflowPunct/>
        <w:topLinePunct w:val="0"/>
        <w:autoSpaceDE/>
        <w:autoSpaceDN/>
        <w:bidi w:val="0"/>
        <w:adjustRightInd w:val="0"/>
        <w:snapToGrid w:val="0"/>
        <w:spacing w:line="410" w:lineRule="exact"/>
        <w:textAlignment w:val="auto"/>
        <w:rPr>
          <w:rFonts w:hint="default" w:ascii="Times New Roman" w:hAnsi="Times New Roman" w:cs="Times New Roman"/>
          <w:color w:val="auto"/>
          <w:kern w:val="0"/>
          <w:sz w:val="24"/>
          <w:szCs w:val="24"/>
        </w:rPr>
      </w:pPr>
      <w:r>
        <w:rPr>
          <w:rFonts w:hint="default" w:ascii="Times New Roman" w:hAnsi="Times New Roman" w:cs="Times New Roman"/>
          <w:color w:val="FF0000"/>
          <w:kern w:val="0"/>
          <w:szCs w:val="24"/>
        </w:rPr>
        <w:fldChar w:fldCharType="end"/>
      </w:r>
    </w:p>
    <w:p w14:paraId="35DF03BF">
      <w:pPr>
        <w:widowControl/>
        <w:spacing w:before="100" w:beforeAutospacing="1" w:after="100" w:afterAutospacing="1" w:line="425" w:lineRule="auto"/>
        <w:ind w:firstLine="723" w:firstLineChars="200"/>
        <w:jc w:val="center"/>
        <w:rPr>
          <w:rFonts w:hint="default" w:ascii="Times New Roman" w:hAnsi="Times New Roman" w:cs="Times New Roman"/>
          <w:b/>
          <w:color w:val="auto"/>
          <w:kern w:val="0"/>
          <w:sz w:val="36"/>
          <w:szCs w:val="36"/>
        </w:rPr>
        <w:sectPr>
          <w:pgSz w:w="11906" w:h="16838"/>
          <w:pgMar w:top="1418" w:right="1418" w:bottom="1418" w:left="1418" w:header="851" w:footer="850" w:gutter="0"/>
          <w:pgBorders>
            <w:top w:val="none" w:sz="0" w:space="0"/>
            <w:left w:val="none" w:sz="0" w:space="0"/>
            <w:bottom w:val="none" w:sz="0" w:space="0"/>
            <w:right w:val="none" w:sz="0" w:space="0"/>
          </w:pgBorders>
          <w:pgNumType w:fmt="upperRoman" w:start="1"/>
          <w:cols w:space="720" w:num="1"/>
          <w:titlePg/>
          <w:docGrid w:linePitch="312" w:charSpace="0"/>
        </w:sectPr>
      </w:pPr>
    </w:p>
    <w:p w14:paraId="727E2CAE">
      <w:pPr>
        <w:pStyle w:val="3"/>
        <w:bidi w:val="0"/>
        <w:rPr>
          <w:rFonts w:hint="default" w:ascii="Times New Roman" w:hAnsi="Times New Roman" w:cs="Times New Roman"/>
          <w:color w:val="auto"/>
          <w:lang w:val="en-US" w:eastAsia="zh-CN"/>
        </w:rPr>
      </w:pPr>
      <w:bookmarkStart w:id="4" w:name="_Toc3945"/>
      <w:bookmarkStart w:id="5" w:name="_Toc31179"/>
      <w:r>
        <w:rPr>
          <w:rFonts w:hint="default" w:ascii="Times New Roman" w:hAnsi="Times New Roman" w:cs="Times New Roman"/>
          <w:color w:val="auto"/>
          <w:lang w:val="en-US" w:eastAsia="zh-CN"/>
        </w:rPr>
        <w:t>1.评价概述</w:t>
      </w:r>
      <w:bookmarkEnd w:id="4"/>
      <w:bookmarkEnd w:id="5"/>
    </w:p>
    <w:p w14:paraId="2C7D7F35">
      <w:pPr>
        <w:pStyle w:val="4"/>
        <w:bidi w:val="0"/>
        <w:rPr>
          <w:rFonts w:hint="default" w:ascii="Times New Roman" w:hAnsi="Times New Roman" w:eastAsia="宋体" w:cs="Times New Roman"/>
          <w:color w:val="auto"/>
          <w:lang w:eastAsia="zh-CN"/>
        </w:rPr>
      </w:pPr>
      <w:bookmarkStart w:id="6" w:name="_Toc13865"/>
      <w:bookmarkStart w:id="7" w:name="_Toc16628"/>
      <w:r>
        <w:rPr>
          <w:rFonts w:hint="default" w:ascii="Times New Roman" w:hAnsi="Times New Roman" w:cs="Times New Roman"/>
          <w:color w:val="auto"/>
        </w:rPr>
        <w:t>1.1评价目的和</w:t>
      </w:r>
      <w:bookmarkEnd w:id="6"/>
      <w:r>
        <w:rPr>
          <w:rFonts w:hint="default" w:ascii="Times New Roman" w:hAnsi="Times New Roman" w:cs="Times New Roman"/>
          <w:color w:val="auto"/>
          <w:lang w:val="en-US" w:eastAsia="zh-CN"/>
        </w:rPr>
        <w:t>内容</w:t>
      </w:r>
      <w:bookmarkEnd w:id="7"/>
    </w:p>
    <w:p w14:paraId="188B1698">
      <w:pPr>
        <w:pStyle w:val="5"/>
        <w:bidi w:val="0"/>
        <w:rPr>
          <w:rFonts w:hint="default" w:ascii="Times New Roman" w:hAnsi="Times New Roman" w:cs="Times New Roman"/>
          <w:color w:val="auto"/>
          <w:szCs w:val="28"/>
        </w:rPr>
      </w:pPr>
      <w:bookmarkStart w:id="8" w:name="_Toc30110"/>
      <w:bookmarkStart w:id="9" w:name="_Toc20001"/>
      <w:r>
        <w:rPr>
          <w:rFonts w:hint="default" w:ascii="Times New Roman" w:hAnsi="Times New Roman" w:cs="Times New Roman"/>
          <w:color w:val="auto"/>
        </w:rPr>
        <w:t>1.1.1评价目的</w:t>
      </w:r>
      <w:bookmarkEnd w:id="8"/>
      <w:bookmarkEnd w:id="9"/>
    </w:p>
    <w:p w14:paraId="095DED2B">
      <w:pPr>
        <w:pageBreakBefore w:val="0"/>
        <w:kinsoku/>
        <w:wordWrap/>
        <w:overflowPunct/>
        <w:topLinePunct w:val="0"/>
        <w:autoSpaceDE/>
        <w:autoSpaceDN/>
        <w:bidi w:val="0"/>
        <w:adjustRightInd/>
        <w:snapToGrid/>
        <w:spacing w:line="600" w:lineRule="exact"/>
        <w:ind w:left="0" w:leftChars="0"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安全现状评价是在系统生命周期内的生产运行期，通过对生产经营单位的生产设施、设备、装置实际运行状况及管理状况的调查、分析，运用安全系统工程的方法，进行危险、有害因素的识别及其危险度的评价，查找该系统生产运行中存在的危险、有害因素并判定其危险程度，提出合理可行的安全对策措施及建议，使系统在生产运行期内的安全风险控制在安全、合理的程度内。</w:t>
      </w:r>
    </w:p>
    <w:p w14:paraId="75A97DF5">
      <w:pPr>
        <w:pStyle w:val="10"/>
        <w:keepNext w:val="0"/>
        <w:keepLines w:val="0"/>
        <w:pageBreakBefore w:val="0"/>
        <w:kinsoku/>
        <w:wordWrap/>
        <w:overflowPunct/>
        <w:topLinePunct w:val="0"/>
        <w:bidi w:val="0"/>
        <w:snapToGrid/>
        <w:spacing w:line="600" w:lineRule="exact"/>
        <w:ind w:left="0" w:leftChars="0" w:right="0" w:rightChars="0" w:firstLine="560"/>
        <w:textAlignment w:val="auto"/>
        <w:rPr>
          <w:rFonts w:hint="default"/>
          <w:color w:val="FF0000"/>
        </w:rPr>
      </w:pPr>
      <w:r>
        <w:rPr>
          <w:rFonts w:hint="default" w:ascii="Times New Roman" w:hAnsi="Times New Roman" w:cs="Times New Roman"/>
          <w:color w:val="auto"/>
          <w:sz w:val="28"/>
          <w:szCs w:val="28"/>
        </w:rPr>
        <w:t>安全现状评价是针对生产经营单位(某一个生产经营单位总体或局部的生产经营活动的)安全现状进行的安全评价，</w:t>
      </w:r>
      <w:r>
        <w:rPr>
          <w:rFonts w:hint="eastAsia" w:ascii="Times New Roman" w:hAnsi="Times New Roman" w:cs="Times New Roman"/>
          <w:color w:val="auto"/>
          <w:sz w:val="28"/>
          <w:szCs w:val="28"/>
          <w:lang w:val="en-US" w:eastAsia="zh-CN"/>
        </w:rPr>
        <w:t>目的是</w:t>
      </w:r>
      <w:r>
        <w:rPr>
          <w:rFonts w:hint="default" w:ascii="Times New Roman" w:hAnsi="Times New Roman" w:cs="Times New Roman"/>
          <w:color w:val="auto"/>
          <w:sz w:val="28"/>
          <w:szCs w:val="28"/>
        </w:rPr>
        <w:t>通过评价查找其存在的危险、有害因素并确定危险程度，提出合理可行的安全对策措施及建议。本次安全现状评价即针对江西临川鲁金矿业有限公司茅排金矿庄前尾矿库的安全运行现状，通过辩识其危险有害因素，提出针对性的安全对策措施。为尾矿库的安全生产管理提供科学依据，以利于提高尾矿库的本质安全程度，从而为江西临川鲁金矿业有限公司茅排金矿庄前尾矿库的安全管理实现系统化、标准化和科学化奠定基础</w:t>
      </w:r>
      <w:r>
        <w:rPr>
          <w:rFonts w:hint="eastAsia" w:ascii="Times New Roman" w:hAnsi="Times New Roman" w:cs="Times New Roman"/>
          <w:color w:val="auto"/>
          <w:sz w:val="28"/>
          <w:szCs w:val="28"/>
          <w:lang w:eastAsia="zh-CN"/>
        </w:rPr>
        <w:t>，</w:t>
      </w:r>
      <w:r>
        <w:rPr>
          <w:rFonts w:hint="eastAsia"/>
          <w:color w:val="auto"/>
        </w:rPr>
        <w:t>并为</w:t>
      </w:r>
      <w:r>
        <w:rPr>
          <w:rFonts w:hint="default"/>
          <w:color w:val="auto"/>
        </w:rPr>
        <w:t>江西临川鲁金矿业有限公司茅排金矿庄前</w:t>
      </w:r>
      <w:r>
        <w:rPr>
          <w:rFonts w:hint="eastAsia"/>
          <w:color w:val="auto"/>
        </w:rPr>
        <w:t>尾矿库的安全管理、</w:t>
      </w:r>
      <w:r>
        <w:rPr>
          <w:color w:val="auto"/>
        </w:rPr>
        <w:t>安全生产许可证延期换证</w:t>
      </w:r>
      <w:r>
        <w:rPr>
          <w:rFonts w:hint="eastAsia"/>
          <w:color w:val="auto"/>
        </w:rPr>
        <w:t>、安全监管</w:t>
      </w:r>
      <w:r>
        <w:rPr>
          <w:color w:val="auto"/>
        </w:rPr>
        <w:t>提供</w:t>
      </w:r>
      <w:r>
        <w:rPr>
          <w:rFonts w:hint="eastAsia"/>
          <w:color w:val="auto"/>
        </w:rPr>
        <w:t>技术支撑</w:t>
      </w:r>
      <w:r>
        <w:rPr>
          <w:rFonts w:hint="default"/>
          <w:color w:val="auto"/>
        </w:rPr>
        <w:t>。</w:t>
      </w:r>
    </w:p>
    <w:p w14:paraId="7FDC8534">
      <w:pPr>
        <w:pStyle w:val="5"/>
        <w:bidi w:val="0"/>
        <w:rPr>
          <w:rFonts w:hint="default" w:ascii="Times New Roman" w:hAnsi="Times New Roman" w:cs="Times New Roman"/>
          <w:color w:val="auto"/>
          <w:lang w:val="en-US" w:eastAsia="zh-CN"/>
        </w:rPr>
      </w:pPr>
      <w:bookmarkStart w:id="10" w:name="_Toc11617"/>
      <w:r>
        <w:rPr>
          <w:rFonts w:hint="default" w:ascii="Times New Roman" w:hAnsi="Times New Roman" w:cs="Times New Roman"/>
          <w:color w:val="auto"/>
          <w:lang w:val="en-US" w:eastAsia="zh-CN"/>
        </w:rPr>
        <w:t>1.1.2评价内容</w:t>
      </w:r>
      <w:bookmarkEnd w:id="10"/>
    </w:p>
    <w:p w14:paraId="7B079C71">
      <w:pPr>
        <w:pageBreakBefore w:val="0"/>
        <w:kinsoku/>
        <w:wordWrap/>
        <w:overflowPunct/>
        <w:topLinePunct w:val="0"/>
        <w:autoSpaceDE/>
        <w:autoSpaceDN/>
        <w:bidi w:val="0"/>
        <w:adjustRightInd/>
        <w:snapToGrid/>
        <w:spacing w:line="600" w:lineRule="exact"/>
        <w:ind w:left="0" w:leftChars="0"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eastAsiaTheme="minorEastAsia"/>
          <w:color w:val="auto"/>
          <w:kern w:val="2"/>
          <w:sz w:val="28"/>
          <w:szCs w:val="28"/>
          <w:lang w:val="en-US" w:eastAsia="zh-CN" w:bidi="ar-SA"/>
        </w:rPr>
        <w:t>评价尾矿库运行过程中存在的主要危险、有害因素的危险性及危害 程度，提出安全对策措施，综合评价尾矿库安全设施的在运行过 程中的安全状况，以及与相关法律法规的符合性。</w:t>
      </w:r>
    </w:p>
    <w:p w14:paraId="15C92278">
      <w:pPr>
        <w:pStyle w:val="4"/>
        <w:bidi w:val="0"/>
        <w:rPr>
          <w:rFonts w:hint="default" w:ascii="Times New Roman" w:hAnsi="Times New Roman" w:cs="Times New Roman"/>
          <w:color w:val="auto"/>
          <w:lang w:val="en-US" w:eastAsia="zh-CN"/>
        </w:rPr>
      </w:pPr>
      <w:bookmarkStart w:id="11" w:name="_Toc30393"/>
      <w:r>
        <w:rPr>
          <w:rFonts w:hint="default" w:ascii="Times New Roman" w:hAnsi="Times New Roman" w:cs="Times New Roman"/>
          <w:color w:val="auto"/>
          <w:lang w:val="en-US" w:eastAsia="zh-CN"/>
        </w:rPr>
        <w:t>1.2评价依据</w:t>
      </w:r>
      <w:bookmarkEnd w:id="11"/>
    </w:p>
    <w:p w14:paraId="40CEC8F4">
      <w:pPr>
        <w:pStyle w:val="5"/>
        <w:bidi w:val="0"/>
        <w:rPr>
          <w:rFonts w:hint="default" w:ascii="Times New Roman" w:hAnsi="Times New Roman" w:cs="Times New Roman"/>
          <w:color w:val="auto"/>
          <w:lang w:val="en-US" w:eastAsia="zh-CN"/>
        </w:rPr>
      </w:pPr>
      <w:bookmarkStart w:id="12" w:name="_Toc25082"/>
      <w:bookmarkStart w:id="13" w:name="_Toc18196"/>
      <w:bookmarkStart w:id="14" w:name="_Toc13080"/>
      <w:r>
        <w:rPr>
          <w:rFonts w:hint="default" w:ascii="Times New Roman" w:hAnsi="Times New Roman" w:cs="Times New Roman"/>
          <w:color w:val="auto"/>
        </w:rPr>
        <w:t>1.2.1</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法律</w:t>
      </w:r>
      <w:bookmarkEnd w:id="12"/>
      <w:bookmarkEnd w:id="13"/>
      <w:bookmarkEnd w:id="14"/>
    </w:p>
    <w:p w14:paraId="5D98A6F6">
      <w:pPr>
        <w:bidi w:val="0"/>
        <w:ind w:firstLine="883"/>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1.《中华人民共和国矿山安全法》（主席令</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1992</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第65号</w:t>
      </w:r>
      <w:r>
        <w:rPr>
          <w:rFonts w:hint="eastAsia"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经主席令</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2009</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第18号修正</w:t>
      </w:r>
      <w:r>
        <w:rPr>
          <w:rFonts w:hint="eastAsia"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自1993年5月1日起施行</w:t>
      </w:r>
      <w:r>
        <w:rPr>
          <w:rFonts w:hint="eastAsia"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w:t>
      </w:r>
    </w:p>
    <w:p w14:paraId="44911101">
      <w:pPr>
        <w:bidi w:val="0"/>
        <w:rPr>
          <w:rFonts w:hint="default" w:ascii="Times New Roman" w:hAnsi="Times New Roman" w:cs="Times New Roman"/>
          <w:color w:val="auto"/>
        </w:rPr>
      </w:pPr>
      <w:r>
        <w:rPr>
          <w:rFonts w:hint="default" w:ascii="Times New Roman" w:hAnsi="Times New Roman" w:cs="Times New Roman"/>
          <w:color w:val="auto"/>
          <w:lang w:val="en-US" w:eastAsia="zh-CN"/>
        </w:rPr>
        <w:t>2</w:t>
      </w:r>
      <w:r>
        <w:rPr>
          <w:rFonts w:hint="default" w:ascii="Times New Roman" w:hAnsi="Times New Roman" w:cs="Times New Roman"/>
          <w:color w:val="auto"/>
        </w:rPr>
        <w:t>.《中华人民共和国安全生产法》（主席令</w:t>
      </w:r>
      <w:r>
        <w:rPr>
          <w:rFonts w:hint="default" w:ascii="Times New Roman" w:hAnsi="Times New Roman" w:cs="Times New Roman"/>
          <w:color w:val="auto"/>
          <w:lang w:eastAsia="zh-CN"/>
        </w:rPr>
        <w:t>〔</w:t>
      </w:r>
      <w:r>
        <w:rPr>
          <w:rFonts w:hint="default" w:ascii="Times New Roman" w:hAnsi="Times New Roman" w:cs="Times New Roman"/>
          <w:color w:val="auto"/>
        </w:rPr>
        <w:t>2002</w:t>
      </w:r>
      <w:r>
        <w:rPr>
          <w:rFonts w:hint="default" w:ascii="Times New Roman" w:hAnsi="Times New Roman" w:cs="Times New Roman"/>
          <w:color w:val="auto"/>
          <w:lang w:eastAsia="zh-CN"/>
        </w:rPr>
        <w:t>〕</w:t>
      </w:r>
      <w:r>
        <w:rPr>
          <w:rFonts w:hint="default" w:ascii="Times New Roman" w:hAnsi="Times New Roman" w:cs="Times New Roman"/>
          <w:color w:val="auto"/>
        </w:rPr>
        <w:t>第70号</w:t>
      </w:r>
      <w:r>
        <w:rPr>
          <w:rFonts w:hint="eastAsia" w:ascii="Times New Roman" w:hAnsi="Times New Roman" w:cs="Times New Roman"/>
          <w:color w:val="auto"/>
          <w:lang w:eastAsia="zh-CN"/>
        </w:rPr>
        <w:t>，</w:t>
      </w:r>
      <w:r>
        <w:rPr>
          <w:rFonts w:hint="default" w:ascii="Times New Roman" w:hAnsi="Times New Roman" w:cs="Times New Roman"/>
          <w:color w:val="auto"/>
        </w:rPr>
        <w:t>经主席令</w:t>
      </w:r>
      <w:r>
        <w:rPr>
          <w:rFonts w:hint="default" w:ascii="Times New Roman" w:hAnsi="Times New Roman" w:cs="Times New Roman"/>
          <w:color w:val="auto"/>
          <w:lang w:eastAsia="zh-CN"/>
        </w:rPr>
        <w:t>〔</w:t>
      </w:r>
      <w:r>
        <w:rPr>
          <w:rFonts w:hint="default" w:ascii="Times New Roman" w:hAnsi="Times New Roman" w:cs="Times New Roman"/>
          <w:color w:val="auto"/>
        </w:rPr>
        <w:t>2009</w:t>
      </w:r>
      <w:r>
        <w:rPr>
          <w:rFonts w:hint="default" w:ascii="Times New Roman" w:hAnsi="Times New Roman" w:cs="Times New Roman"/>
          <w:color w:val="auto"/>
          <w:lang w:eastAsia="zh-CN"/>
        </w:rPr>
        <w:t>〕</w:t>
      </w:r>
      <w:r>
        <w:rPr>
          <w:rFonts w:hint="default" w:ascii="Times New Roman" w:hAnsi="Times New Roman" w:cs="Times New Roman"/>
          <w:color w:val="auto"/>
        </w:rPr>
        <w:t>第18号、主席令</w:t>
      </w:r>
      <w:r>
        <w:rPr>
          <w:rFonts w:hint="default" w:ascii="Times New Roman" w:hAnsi="Times New Roman" w:cs="Times New Roman"/>
          <w:color w:val="auto"/>
          <w:lang w:eastAsia="zh-CN"/>
        </w:rPr>
        <w:t>〔</w:t>
      </w:r>
      <w:r>
        <w:rPr>
          <w:rFonts w:hint="default" w:ascii="Times New Roman" w:hAnsi="Times New Roman" w:cs="Times New Roman"/>
          <w:color w:val="auto"/>
        </w:rPr>
        <w:t>2014</w:t>
      </w:r>
      <w:r>
        <w:rPr>
          <w:rFonts w:hint="default" w:ascii="Times New Roman" w:hAnsi="Times New Roman" w:cs="Times New Roman"/>
          <w:color w:val="auto"/>
          <w:lang w:eastAsia="zh-CN"/>
        </w:rPr>
        <w:t>〕</w:t>
      </w:r>
      <w:r>
        <w:rPr>
          <w:rFonts w:hint="default" w:ascii="Times New Roman" w:hAnsi="Times New Roman" w:cs="Times New Roman"/>
          <w:color w:val="auto"/>
        </w:rPr>
        <w:t>第13号、主席令</w:t>
      </w:r>
      <w:r>
        <w:rPr>
          <w:rFonts w:hint="default" w:ascii="Times New Roman" w:hAnsi="Times New Roman" w:cs="Times New Roman"/>
          <w:color w:val="auto"/>
          <w:lang w:eastAsia="zh-CN"/>
        </w:rPr>
        <w:t>〔</w:t>
      </w:r>
      <w:r>
        <w:rPr>
          <w:rFonts w:hint="default" w:ascii="Times New Roman" w:hAnsi="Times New Roman" w:cs="Times New Roman"/>
          <w:color w:val="auto"/>
        </w:rPr>
        <w:t>2021</w:t>
      </w:r>
      <w:r>
        <w:rPr>
          <w:rFonts w:hint="default" w:ascii="Times New Roman" w:hAnsi="Times New Roman" w:cs="Times New Roman"/>
          <w:color w:val="auto"/>
          <w:lang w:eastAsia="zh-CN"/>
        </w:rPr>
        <w:t>〕</w:t>
      </w:r>
      <w:r>
        <w:rPr>
          <w:rFonts w:hint="default" w:ascii="Times New Roman" w:hAnsi="Times New Roman" w:cs="Times New Roman"/>
          <w:color w:val="auto"/>
        </w:rPr>
        <w:t>第88号修</w:t>
      </w:r>
      <w:r>
        <w:rPr>
          <w:rFonts w:hint="default" w:ascii="Times New Roman" w:hAnsi="Times New Roman" w:cs="Times New Roman"/>
          <w:color w:val="auto"/>
          <w:lang w:val="en-US" w:eastAsia="zh-CN"/>
        </w:rPr>
        <w:t>正</w:t>
      </w:r>
      <w:r>
        <w:rPr>
          <w:rFonts w:hint="eastAsia" w:ascii="Times New Roman" w:hAnsi="Times New Roman" w:cs="Times New Roman"/>
          <w:color w:val="auto"/>
          <w:lang w:eastAsia="zh-CN"/>
        </w:rPr>
        <w:t>，</w:t>
      </w:r>
      <w:r>
        <w:rPr>
          <w:rFonts w:hint="default" w:ascii="Times New Roman" w:hAnsi="Times New Roman" w:cs="Times New Roman"/>
          <w:color w:val="auto"/>
        </w:rPr>
        <w:t>自20</w:t>
      </w:r>
      <w:r>
        <w:rPr>
          <w:rFonts w:hint="default" w:ascii="Times New Roman" w:hAnsi="Times New Roman" w:cs="Times New Roman"/>
          <w:color w:val="auto"/>
          <w:lang w:val="en-US" w:eastAsia="zh-CN"/>
        </w:rPr>
        <w:t>02</w:t>
      </w:r>
      <w:r>
        <w:rPr>
          <w:rFonts w:hint="default" w:ascii="Times New Roman" w:hAnsi="Times New Roman" w:cs="Times New Roman"/>
          <w:color w:val="auto"/>
        </w:rPr>
        <w:t>年</w:t>
      </w:r>
      <w:r>
        <w:rPr>
          <w:rFonts w:hint="default" w:ascii="Times New Roman" w:hAnsi="Times New Roman" w:cs="Times New Roman"/>
          <w:color w:val="auto"/>
          <w:lang w:val="en-US" w:eastAsia="zh-CN"/>
        </w:rPr>
        <w:t>11</w:t>
      </w:r>
      <w:r>
        <w:rPr>
          <w:rFonts w:hint="default" w:ascii="Times New Roman" w:hAnsi="Times New Roman" w:cs="Times New Roman"/>
          <w:color w:val="auto"/>
        </w:rPr>
        <w:t>月1日起施行）</w:t>
      </w:r>
    </w:p>
    <w:p w14:paraId="4A5A94B2">
      <w:pPr>
        <w:bidi w:val="0"/>
        <w:rPr>
          <w:rFonts w:hint="default" w:ascii="Times New Roman" w:hAnsi="Times New Roman" w:cs="Times New Roman"/>
          <w:color w:val="auto"/>
        </w:rPr>
      </w:pPr>
      <w:r>
        <w:rPr>
          <w:rFonts w:hint="default" w:ascii="Times New Roman" w:hAnsi="Times New Roman" w:cs="Times New Roman"/>
          <w:color w:val="auto"/>
          <w:lang w:val="en-US" w:eastAsia="zh-CN"/>
        </w:rPr>
        <w:t>3</w:t>
      </w:r>
      <w:r>
        <w:rPr>
          <w:rFonts w:hint="default" w:ascii="Times New Roman" w:hAnsi="Times New Roman" w:cs="Times New Roman"/>
          <w:color w:val="auto"/>
        </w:rPr>
        <w:t>.《中华人民共和国劳动法》（主席令</w:t>
      </w:r>
      <w:r>
        <w:rPr>
          <w:rFonts w:hint="default" w:ascii="Times New Roman" w:hAnsi="Times New Roman" w:cs="Times New Roman"/>
          <w:color w:val="auto"/>
          <w:lang w:eastAsia="zh-CN"/>
        </w:rPr>
        <w:t>〔</w:t>
      </w:r>
      <w:r>
        <w:rPr>
          <w:rFonts w:hint="default" w:ascii="Times New Roman" w:hAnsi="Times New Roman" w:cs="Times New Roman"/>
          <w:color w:val="auto"/>
        </w:rPr>
        <w:t>1994</w:t>
      </w:r>
      <w:r>
        <w:rPr>
          <w:rFonts w:hint="default" w:ascii="Times New Roman" w:hAnsi="Times New Roman" w:cs="Times New Roman"/>
          <w:color w:val="auto"/>
          <w:lang w:eastAsia="zh-CN"/>
        </w:rPr>
        <w:t>〕</w:t>
      </w:r>
      <w:r>
        <w:rPr>
          <w:rFonts w:hint="default" w:ascii="Times New Roman" w:hAnsi="Times New Roman" w:cs="Times New Roman"/>
          <w:color w:val="auto"/>
        </w:rPr>
        <w:t>第28号</w:t>
      </w:r>
      <w:r>
        <w:rPr>
          <w:rFonts w:hint="eastAsia" w:ascii="Times New Roman" w:hAnsi="Times New Roman" w:cs="Times New Roman"/>
          <w:color w:val="auto"/>
          <w:lang w:eastAsia="zh-CN"/>
        </w:rPr>
        <w:t>，</w:t>
      </w:r>
      <w:r>
        <w:rPr>
          <w:rFonts w:hint="default" w:ascii="Times New Roman" w:hAnsi="Times New Roman" w:cs="Times New Roman"/>
          <w:color w:val="auto"/>
        </w:rPr>
        <w:t>经主席令</w:t>
      </w:r>
      <w:r>
        <w:rPr>
          <w:rFonts w:hint="default" w:ascii="Times New Roman" w:hAnsi="Times New Roman" w:cs="Times New Roman"/>
          <w:color w:val="auto"/>
          <w:lang w:eastAsia="zh-CN"/>
        </w:rPr>
        <w:t>〔</w:t>
      </w:r>
      <w:r>
        <w:rPr>
          <w:rFonts w:hint="default" w:ascii="Times New Roman" w:hAnsi="Times New Roman" w:cs="Times New Roman"/>
          <w:color w:val="auto"/>
        </w:rPr>
        <w:t>2009</w:t>
      </w:r>
      <w:r>
        <w:rPr>
          <w:rFonts w:hint="default" w:ascii="Times New Roman" w:hAnsi="Times New Roman" w:cs="Times New Roman"/>
          <w:color w:val="auto"/>
          <w:lang w:eastAsia="zh-CN"/>
        </w:rPr>
        <w:t>〕</w:t>
      </w:r>
      <w:r>
        <w:rPr>
          <w:rFonts w:hint="default" w:ascii="Times New Roman" w:hAnsi="Times New Roman" w:cs="Times New Roman"/>
          <w:color w:val="auto"/>
        </w:rPr>
        <w:t>第</w:t>
      </w:r>
      <w:r>
        <w:rPr>
          <w:rFonts w:hint="default" w:ascii="Times New Roman" w:hAnsi="Times New Roman" w:cs="Times New Roman"/>
          <w:color w:val="auto"/>
          <w:lang w:val="en-US" w:eastAsia="zh-CN"/>
        </w:rPr>
        <w:t>18</w:t>
      </w:r>
      <w:r>
        <w:rPr>
          <w:rFonts w:hint="default" w:ascii="Times New Roman" w:hAnsi="Times New Roman" w:cs="Times New Roman"/>
          <w:color w:val="auto"/>
        </w:rPr>
        <w:t>号、主席令</w:t>
      </w:r>
      <w:r>
        <w:rPr>
          <w:rFonts w:hint="default" w:ascii="Times New Roman" w:hAnsi="Times New Roman" w:cs="Times New Roman"/>
          <w:color w:val="auto"/>
          <w:lang w:eastAsia="zh-CN"/>
        </w:rPr>
        <w:t>〔</w:t>
      </w:r>
      <w:r>
        <w:rPr>
          <w:rFonts w:hint="default" w:ascii="Times New Roman" w:hAnsi="Times New Roman" w:cs="Times New Roman"/>
          <w:color w:val="auto"/>
        </w:rPr>
        <w:t>2018</w:t>
      </w:r>
      <w:r>
        <w:rPr>
          <w:rFonts w:hint="default" w:ascii="Times New Roman" w:hAnsi="Times New Roman" w:cs="Times New Roman"/>
          <w:color w:val="auto"/>
          <w:lang w:eastAsia="zh-CN"/>
        </w:rPr>
        <w:t>〕</w:t>
      </w:r>
      <w:r>
        <w:rPr>
          <w:rFonts w:hint="default" w:ascii="Times New Roman" w:hAnsi="Times New Roman" w:cs="Times New Roman"/>
          <w:color w:val="auto"/>
        </w:rPr>
        <w:t>第24号修</w:t>
      </w:r>
      <w:r>
        <w:rPr>
          <w:rFonts w:hint="default" w:ascii="Times New Roman" w:hAnsi="Times New Roman" w:cs="Times New Roman"/>
          <w:color w:val="auto"/>
          <w:lang w:val="en-US" w:eastAsia="zh-CN"/>
        </w:rPr>
        <w:t>正</w:t>
      </w:r>
      <w:r>
        <w:rPr>
          <w:rFonts w:hint="eastAsia" w:ascii="Times New Roman" w:hAnsi="Times New Roman" w:cs="Times New Roman"/>
          <w:color w:val="auto"/>
          <w:lang w:eastAsia="zh-CN"/>
        </w:rPr>
        <w:t>，</w:t>
      </w:r>
      <w:r>
        <w:rPr>
          <w:rFonts w:hint="default" w:ascii="Times New Roman" w:hAnsi="Times New Roman" w:cs="Times New Roman"/>
          <w:color w:val="auto"/>
        </w:rPr>
        <w:t>自</w:t>
      </w:r>
      <w:r>
        <w:rPr>
          <w:rFonts w:hint="default" w:ascii="Times New Roman" w:hAnsi="Times New Roman" w:cs="Times New Roman"/>
          <w:color w:val="auto"/>
          <w:lang w:val="en-US" w:eastAsia="zh-CN"/>
        </w:rPr>
        <w:t>1995</w:t>
      </w:r>
      <w:r>
        <w:rPr>
          <w:rFonts w:hint="default" w:ascii="Times New Roman" w:hAnsi="Times New Roman" w:cs="Times New Roman"/>
          <w:color w:val="auto"/>
        </w:rPr>
        <w:t>年</w:t>
      </w:r>
      <w:r>
        <w:rPr>
          <w:rFonts w:hint="default" w:ascii="Times New Roman" w:hAnsi="Times New Roman" w:cs="Times New Roman"/>
          <w:color w:val="auto"/>
          <w:lang w:val="en-US" w:eastAsia="zh-CN"/>
        </w:rPr>
        <w:t>1</w:t>
      </w:r>
      <w:r>
        <w:rPr>
          <w:rFonts w:hint="default" w:ascii="Times New Roman" w:hAnsi="Times New Roman" w:cs="Times New Roman"/>
          <w:color w:val="auto"/>
        </w:rPr>
        <w:t>月</w:t>
      </w:r>
      <w:r>
        <w:rPr>
          <w:rFonts w:hint="default" w:ascii="Times New Roman" w:hAnsi="Times New Roman" w:cs="Times New Roman"/>
          <w:color w:val="auto"/>
          <w:lang w:val="en-US" w:eastAsia="zh-CN"/>
        </w:rPr>
        <w:t>1</w:t>
      </w:r>
      <w:r>
        <w:rPr>
          <w:rFonts w:hint="default" w:ascii="Times New Roman" w:hAnsi="Times New Roman" w:cs="Times New Roman"/>
          <w:color w:val="auto"/>
        </w:rPr>
        <w:t>日起施行）</w:t>
      </w:r>
    </w:p>
    <w:p w14:paraId="63D15015">
      <w:pPr>
        <w:bidi w:val="0"/>
        <w:rPr>
          <w:rFonts w:hint="default" w:ascii="Times New Roman" w:hAnsi="Times New Roman" w:cs="Times New Roman"/>
          <w:color w:val="auto"/>
        </w:rPr>
      </w:pPr>
      <w:r>
        <w:rPr>
          <w:rFonts w:hint="default" w:ascii="Times New Roman" w:hAnsi="Times New Roman" w:cs="Times New Roman"/>
          <w:color w:val="auto"/>
          <w:lang w:val="en-US" w:eastAsia="zh-CN"/>
        </w:rPr>
        <w:t>4</w:t>
      </w:r>
      <w:r>
        <w:rPr>
          <w:rFonts w:hint="default" w:ascii="Times New Roman" w:hAnsi="Times New Roman" w:cs="Times New Roman"/>
          <w:color w:val="auto"/>
        </w:rPr>
        <w:t>.《中华人民共和国消防法》（主席令</w:t>
      </w:r>
      <w:r>
        <w:rPr>
          <w:rFonts w:hint="default" w:ascii="Times New Roman" w:hAnsi="Times New Roman" w:cs="Times New Roman"/>
          <w:color w:val="auto"/>
          <w:lang w:eastAsia="zh-CN"/>
        </w:rPr>
        <w:t>〔</w:t>
      </w:r>
      <w:r>
        <w:rPr>
          <w:rFonts w:hint="default" w:ascii="Times New Roman" w:hAnsi="Times New Roman" w:cs="Times New Roman"/>
          <w:color w:val="auto"/>
        </w:rPr>
        <w:t>1998</w:t>
      </w:r>
      <w:r>
        <w:rPr>
          <w:rFonts w:hint="default" w:ascii="Times New Roman" w:hAnsi="Times New Roman" w:cs="Times New Roman"/>
          <w:color w:val="auto"/>
          <w:lang w:eastAsia="zh-CN"/>
        </w:rPr>
        <w:t>〕</w:t>
      </w:r>
      <w:r>
        <w:rPr>
          <w:rFonts w:hint="default" w:ascii="Times New Roman" w:hAnsi="Times New Roman" w:cs="Times New Roman"/>
          <w:color w:val="auto"/>
        </w:rPr>
        <w:t>第4号</w:t>
      </w:r>
      <w:r>
        <w:rPr>
          <w:rFonts w:hint="eastAsia" w:ascii="Times New Roman" w:hAnsi="Times New Roman" w:cs="Times New Roman"/>
          <w:color w:val="auto"/>
          <w:lang w:eastAsia="zh-CN"/>
        </w:rPr>
        <w:t>，</w:t>
      </w:r>
      <w:r>
        <w:rPr>
          <w:rFonts w:hint="default" w:ascii="Times New Roman" w:hAnsi="Times New Roman" w:cs="Times New Roman"/>
          <w:color w:val="auto"/>
          <w:lang w:val="en-US" w:eastAsia="zh-CN"/>
        </w:rPr>
        <w:t>经</w:t>
      </w:r>
      <w:r>
        <w:rPr>
          <w:rFonts w:hint="default" w:ascii="Times New Roman" w:hAnsi="Times New Roman" w:cs="Times New Roman"/>
          <w:color w:val="auto"/>
        </w:rPr>
        <w:t>主席令</w:t>
      </w:r>
      <w:r>
        <w:rPr>
          <w:rFonts w:hint="default" w:ascii="Times New Roman" w:hAnsi="Times New Roman" w:cs="Times New Roman"/>
          <w:color w:val="auto"/>
          <w:lang w:eastAsia="zh-CN"/>
        </w:rPr>
        <w:t>〔</w:t>
      </w:r>
      <w:r>
        <w:rPr>
          <w:rFonts w:hint="default" w:ascii="Times New Roman" w:hAnsi="Times New Roman" w:cs="Times New Roman"/>
          <w:color w:val="auto"/>
        </w:rPr>
        <w:t>2019</w:t>
      </w:r>
      <w:r>
        <w:rPr>
          <w:rFonts w:hint="default" w:ascii="Times New Roman" w:hAnsi="Times New Roman" w:cs="Times New Roman"/>
          <w:color w:val="auto"/>
          <w:lang w:eastAsia="zh-CN"/>
        </w:rPr>
        <w:t>〕</w:t>
      </w:r>
      <w:r>
        <w:rPr>
          <w:rFonts w:hint="default" w:ascii="Times New Roman" w:hAnsi="Times New Roman" w:cs="Times New Roman"/>
          <w:color w:val="auto"/>
        </w:rPr>
        <w:t>第29号、主席令</w:t>
      </w:r>
      <w:r>
        <w:rPr>
          <w:rFonts w:hint="default" w:ascii="Times New Roman" w:hAnsi="Times New Roman" w:cs="Times New Roman"/>
          <w:color w:val="auto"/>
          <w:lang w:eastAsia="zh-CN"/>
        </w:rPr>
        <w:t>〔</w:t>
      </w:r>
      <w:r>
        <w:rPr>
          <w:rFonts w:hint="default" w:ascii="Times New Roman" w:hAnsi="Times New Roman" w:cs="Times New Roman"/>
          <w:color w:val="auto"/>
        </w:rPr>
        <w:t>2021</w:t>
      </w:r>
      <w:r>
        <w:rPr>
          <w:rFonts w:hint="default" w:ascii="Times New Roman" w:hAnsi="Times New Roman" w:cs="Times New Roman"/>
          <w:color w:val="auto"/>
          <w:lang w:eastAsia="zh-CN"/>
        </w:rPr>
        <w:t>〕</w:t>
      </w:r>
      <w:r>
        <w:rPr>
          <w:rFonts w:hint="default" w:ascii="Times New Roman" w:hAnsi="Times New Roman" w:cs="Times New Roman"/>
          <w:color w:val="auto"/>
        </w:rPr>
        <w:t>第81号</w:t>
      </w:r>
      <w:r>
        <w:rPr>
          <w:rFonts w:hint="default" w:ascii="Times New Roman" w:hAnsi="Times New Roman" w:cs="Times New Roman"/>
          <w:color w:val="auto"/>
          <w:lang w:val="en-US" w:eastAsia="zh-CN"/>
        </w:rPr>
        <w:t>修正</w:t>
      </w:r>
      <w:r>
        <w:rPr>
          <w:rFonts w:hint="eastAsia" w:ascii="Times New Roman" w:hAnsi="Times New Roman" w:cs="Times New Roman"/>
          <w:color w:val="auto"/>
          <w:lang w:eastAsia="zh-CN"/>
        </w:rPr>
        <w:t>，</w:t>
      </w:r>
      <w:r>
        <w:rPr>
          <w:rFonts w:hint="default" w:ascii="Times New Roman" w:hAnsi="Times New Roman" w:cs="Times New Roman"/>
          <w:color w:val="auto"/>
          <w:lang w:val="en-US" w:eastAsia="zh-CN"/>
        </w:rPr>
        <w:t>经</w:t>
      </w:r>
      <w:r>
        <w:rPr>
          <w:rFonts w:hint="default" w:ascii="Times New Roman" w:hAnsi="Times New Roman" w:cs="Times New Roman"/>
          <w:color w:val="auto"/>
        </w:rPr>
        <w:t>主席令</w:t>
      </w:r>
      <w:r>
        <w:rPr>
          <w:rFonts w:hint="default" w:ascii="Times New Roman" w:hAnsi="Times New Roman" w:cs="Times New Roman"/>
          <w:color w:val="auto"/>
          <w:lang w:eastAsia="zh-CN"/>
        </w:rPr>
        <w:t>〔</w:t>
      </w:r>
      <w:r>
        <w:rPr>
          <w:rFonts w:hint="default" w:ascii="Times New Roman" w:hAnsi="Times New Roman" w:cs="Times New Roman"/>
          <w:color w:val="auto"/>
        </w:rPr>
        <w:t>2008</w:t>
      </w:r>
      <w:r>
        <w:rPr>
          <w:rFonts w:hint="default" w:ascii="Times New Roman" w:hAnsi="Times New Roman" w:cs="Times New Roman"/>
          <w:color w:val="auto"/>
          <w:lang w:eastAsia="zh-CN"/>
        </w:rPr>
        <w:t>〕</w:t>
      </w:r>
      <w:r>
        <w:rPr>
          <w:rFonts w:hint="default" w:ascii="Times New Roman" w:hAnsi="Times New Roman" w:cs="Times New Roman"/>
          <w:color w:val="auto"/>
        </w:rPr>
        <w:t>第6号</w:t>
      </w:r>
      <w:r>
        <w:rPr>
          <w:rFonts w:hint="default" w:ascii="Times New Roman" w:hAnsi="Times New Roman" w:cs="Times New Roman"/>
          <w:color w:val="auto"/>
          <w:lang w:val="en-US" w:eastAsia="zh-CN"/>
        </w:rPr>
        <w:t>修订</w:t>
      </w:r>
      <w:r>
        <w:rPr>
          <w:rFonts w:hint="eastAsia" w:ascii="Times New Roman" w:hAnsi="Times New Roman" w:cs="Times New Roman"/>
          <w:color w:val="auto"/>
          <w:lang w:eastAsia="zh-CN"/>
        </w:rPr>
        <w:t>，</w:t>
      </w:r>
      <w:r>
        <w:rPr>
          <w:rFonts w:hint="default" w:ascii="Times New Roman" w:hAnsi="Times New Roman" w:cs="Times New Roman"/>
          <w:color w:val="auto"/>
        </w:rPr>
        <w:t>自20</w:t>
      </w:r>
      <w:r>
        <w:rPr>
          <w:rFonts w:hint="default" w:ascii="Times New Roman" w:hAnsi="Times New Roman" w:cs="Times New Roman"/>
          <w:color w:val="auto"/>
          <w:lang w:val="en-US" w:eastAsia="zh-CN"/>
        </w:rPr>
        <w:t>09</w:t>
      </w:r>
      <w:r>
        <w:rPr>
          <w:rFonts w:hint="default" w:ascii="Times New Roman" w:hAnsi="Times New Roman" w:cs="Times New Roman"/>
          <w:color w:val="auto"/>
        </w:rPr>
        <w:t>年</w:t>
      </w:r>
      <w:r>
        <w:rPr>
          <w:rFonts w:hint="default" w:ascii="Times New Roman" w:hAnsi="Times New Roman" w:cs="Times New Roman"/>
          <w:color w:val="auto"/>
          <w:lang w:val="en-US" w:eastAsia="zh-CN"/>
        </w:rPr>
        <w:t>5</w:t>
      </w:r>
      <w:r>
        <w:rPr>
          <w:rFonts w:hint="default" w:ascii="Times New Roman" w:hAnsi="Times New Roman" w:cs="Times New Roman"/>
          <w:color w:val="auto"/>
        </w:rPr>
        <w:t>月</w:t>
      </w:r>
      <w:r>
        <w:rPr>
          <w:rFonts w:hint="default" w:ascii="Times New Roman" w:hAnsi="Times New Roman" w:cs="Times New Roman"/>
          <w:color w:val="auto"/>
          <w:lang w:val="en-US" w:eastAsia="zh-CN"/>
        </w:rPr>
        <w:t>1</w:t>
      </w:r>
      <w:r>
        <w:rPr>
          <w:rFonts w:hint="default" w:ascii="Times New Roman" w:hAnsi="Times New Roman" w:cs="Times New Roman"/>
          <w:color w:val="auto"/>
        </w:rPr>
        <w:t>日起施行）</w:t>
      </w:r>
    </w:p>
    <w:p w14:paraId="3ADEFDEF">
      <w:pPr>
        <w:bidi w:val="0"/>
        <w:rPr>
          <w:rFonts w:hint="default" w:ascii="Times New Roman" w:hAnsi="Times New Roman" w:cs="Times New Roman"/>
          <w:color w:val="auto"/>
        </w:rPr>
      </w:pPr>
      <w:r>
        <w:rPr>
          <w:rFonts w:hint="default" w:ascii="Times New Roman" w:hAnsi="Times New Roman" w:cs="Times New Roman"/>
          <w:color w:val="auto"/>
          <w:lang w:val="en-US" w:eastAsia="zh-CN"/>
        </w:rPr>
        <w:t>5</w:t>
      </w:r>
      <w:r>
        <w:rPr>
          <w:rFonts w:hint="default" w:ascii="Times New Roman" w:hAnsi="Times New Roman" w:cs="Times New Roman"/>
          <w:color w:val="auto"/>
        </w:rPr>
        <w:t>.《中华人民共和国职业病防治法》（主席令</w:t>
      </w:r>
      <w:r>
        <w:rPr>
          <w:rFonts w:hint="default" w:ascii="Times New Roman" w:hAnsi="Times New Roman" w:cs="Times New Roman"/>
          <w:color w:val="auto"/>
          <w:lang w:eastAsia="zh-CN"/>
        </w:rPr>
        <w:t>〔</w:t>
      </w:r>
      <w:r>
        <w:rPr>
          <w:rFonts w:hint="default" w:ascii="Times New Roman" w:hAnsi="Times New Roman" w:cs="Times New Roman"/>
          <w:color w:val="auto"/>
        </w:rPr>
        <w:t>2001</w:t>
      </w:r>
      <w:r>
        <w:rPr>
          <w:rFonts w:hint="default" w:ascii="Times New Roman" w:hAnsi="Times New Roman" w:cs="Times New Roman"/>
          <w:color w:val="auto"/>
          <w:lang w:eastAsia="zh-CN"/>
        </w:rPr>
        <w:t>〕</w:t>
      </w:r>
      <w:r>
        <w:rPr>
          <w:rFonts w:hint="default" w:ascii="Times New Roman" w:hAnsi="Times New Roman" w:cs="Times New Roman"/>
          <w:color w:val="auto"/>
        </w:rPr>
        <w:t>第60号</w:t>
      </w:r>
      <w:r>
        <w:rPr>
          <w:rFonts w:hint="eastAsia" w:ascii="Times New Roman" w:hAnsi="Times New Roman" w:cs="Times New Roman"/>
          <w:color w:val="auto"/>
          <w:lang w:eastAsia="zh-CN"/>
        </w:rPr>
        <w:t>，</w:t>
      </w:r>
      <w:r>
        <w:rPr>
          <w:rFonts w:hint="default" w:ascii="Times New Roman" w:hAnsi="Times New Roman" w:cs="Times New Roman"/>
          <w:color w:val="auto"/>
        </w:rPr>
        <w:t>经主席令</w:t>
      </w:r>
      <w:r>
        <w:rPr>
          <w:rFonts w:hint="default" w:ascii="Times New Roman" w:hAnsi="Times New Roman" w:cs="Times New Roman"/>
          <w:color w:val="auto"/>
          <w:lang w:eastAsia="zh-CN"/>
        </w:rPr>
        <w:t>〔</w:t>
      </w:r>
      <w:r>
        <w:rPr>
          <w:rFonts w:hint="default" w:ascii="Times New Roman" w:hAnsi="Times New Roman" w:cs="Times New Roman"/>
          <w:color w:val="auto"/>
        </w:rPr>
        <w:t>2011</w:t>
      </w:r>
      <w:r>
        <w:rPr>
          <w:rFonts w:hint="default" w:ascii="Times New Roman" w:hAnsi="Times New Roman" w:cs="Times New Roman"/>
          <w:color w:val="auto"/>
          <w:lang w:eastAsia="zh-CN"/>
        </w:rPr>
        <w:t>〕</w:t>
      </w:r>
      <w:r>
        <w:rPr>
          <w:rFonts w:hint="default" w:ascii="Times New Roman" w:hAnsi="Times New Roman" w:cs="Times New Roman"/>
          <w:color w:val="auto"/>
        </w:rPr>
        <w:t>第52号、主席令</w:t>
      </w:r>
      <w:r>
        <w:rPr>
          <w:rFonts w:hint="default" w:ascii="Times New Roman" w:hAnsi="Times New Roman" w:cs="Times New Roman"/>
          <w:color w:val="auto"/>
          <w:lang w:eastAsia="zh-CN"/>
        </w:rPr>
        <w:t>〔</w:t>
      </w:r>
      <w:r>
        <w:rPr>
          <w:rFonts w:hint="default" w:ascii="Times New Roman" w:hAnsi="Times New Roman" w:cs="Times New Roman"/>
          <w:color w:val="auto"/>
        </w:rPr>
        <w:t>2017</w:t>
      </w:r>
      <w:r>
        <w:rPr>
          <w:rFonts w:hint="default" w:ascii="Times New Roman" w:hAnsi="Times New Roman" w:cs="Times New Roman"/>
          <w:color w:val="auto"/>
          <w:lang w:eastAsia="zh-CN"/>
        </w:rPr>
        <w:t>〕</w:t>
      </w:r>
      <w:r>
        <w:rPr>
          <w:rFonts w:hint="default" w:ascii="Times New Roman" w:hAnsi="Times New Roman" w:cs="Times New Roman"/>
          <w:color w:val="auto"/>
        </w:rPr>
        <w:t>第81号、主席令</w:t>
      </w:r>
      <w:r>
        <w:rPr>
          <w:rFonts w:hint="default" w:ascii="Times New Roman" w:hAnsi="Times New Roman" w:cs="Times New Roman"/>
          <w:color w:val="auto"/>
          <w:lang w:eastAsia="zh-CN"/>
        </w:rPr>
        <w:t>〔</w:t>
      </w:r>
      <w:r>
        <w:rPr>
          <w:rFonts w:hint="default" w:ascii="Times New Roman" w:hAnsi="Times New Roman" w:cs="Times New Roman"/>
          <w:color w:val="auto"/>
        </w:rPr>
        <w:t>2018</w:t>
      </w:r>
      <w:r>
        <w:rPr>
          <w:rFonts w:hint="default" w:ascii="Times New Roman" w:hAnsi="Times New Roman" w:cs="Times New Roman"/>
          <w:color w:val="auto"/>
          <w:lang w:eastAsia="zh-CN"/>
        </w:rPr>
        <w:t>〕</w:t>
      </w:r>
      <w:r>
        <w:rPr>
          <w:rFonts w:hint="default" w:ascii="Times New Roman" w:hAnsi="Times New Roman" w:cs="Times New Roman"/>
          <w:color w:val="auto"/>
        </w:rPr>
        <w:t>第24号修</w:t>
      </w:r>
      <w:r>
        <w:rPr>
          <w:rFonts w:hint="default" w:ascii="Times New Roman" w:hAnsi="Times New Roman" w:cs="Times New Roman"/>
          <w:color w:val="auto"/>
          <w:lang w:val="en-US" w:eastAsia="zh-CN"/>
        </w:rPr>
        <w:t>正</w:t>
      </w:r>
      <w:r>
        <w:rPr>
          <w:rFonts w:hint="eastAsia" w:ascii="Times New Roman" w:hAnsi="Times New Roman" w:cs="Times New Roman"/>
          <w:color w:val="auto"/>
          <w:lang w:eastAsia="zh-CN"/>
        </w:rPr>
        <w:t>，</w:t>
      </w:r>
      <w:r>
        <w:rPr>
          <w:rFonts w:hint="default" w:ascii="Times New Roman" w:hAnsi="Times New Roman" w:cs="Times New Roman"/>
          <w:color w:val="auto"/>
        </w:rPr>
        <w:t>自</w:t>
      </w:r>
      <w:r>
        <w:rPr>
          <w:rFonts w:hint="default" w:ascii="Times New Roman" w:hAnsi="Times New Roman" w:cs="Times New Roman"/>
          <w:color w:val="auto"/>
          <w:lang w:val="en-US" w:eastAsia="zh-CN"/>
        </w:rPr>
        <w:t>2002</w:t>
      </w:r>
      <w:r>
        <w:rPr>
          <w:rFonts w:hint="default" w:ascii="Times New Roman" w:hAnsi="Times New Roman" w:cs="Times New Roman"/>
          <w:color w:val="auto"/>
        </w:rPr>
        <w:t>年</w:t>
      </w:r>
      <w:r>
        <w:rPr>
          <w:rFonts w:hint="default" w:ascii="Times New Roman" w:hAnsi="Times New Roman" w:cs="Times New Roman"/>
          <w:color w:val="auto"/>
          <w:lang w:val="en-US" w:eastAsia="zh-CN"/>
        </w:rPr>
        <w:t>5</w:t>
      </w:r>
      <w:r>
        <w:rPr>
          <w:rFonts w:hint="default" w:ascii="Times New Roman" w:hAnsi="Times New Roman" w:cs="Times New Roman"/>
          <w:color w:val="auto"/>
        </w:rPr>
        <w:t>月</w:t>
      </w:r>
      <w:r>
        <w:rPr>
          <w:rFonts w:hint="default" w:ascii="Times New Roman" w:hAnsi="Times New Roman" w:cs="Times New Roman"/>
          <w:color w:val="auto"/>
          <w:lang w:val="en-US" w:eastAsia="zh-CN"/>
        </w:rPr>
        <w:t>1</w:t>
      </w:r>
      <w:r>
        <w:rPr>
          <w:rFonts w:hint="default" w:ascii="Times New Roman" w:hAnsi="Times New Roman" w:cs="Times New Roman"/>
          <w:color w:val="auto"/>
        </w:rPr>
        <w:t>日起施行）</w:t>
      </w:r>
    </w:p>
    <w:p w14:paraId="66B3A374">
      <w:pPr>
        <w:bidi w:val="0"/>
        <w:rPr>
          <w:rFonts w:hint="default" w:ascii="Times New Roman" w:hAnsi="Times New Roman" w:cs="Times New Roman"/>
          <w:color w:val="auto"/>
        </w:rPr>
      </w:pPr>
      <w:r>
        <w:rPr>
          <w:rFonts w:hint="default" w:ascii="Times New Roman" w:hAnsi="Times New Roman" w:cs="Times New Roman"/>
          <w:color w:val="auto"/>
          <w:lang w:val="en-US" w:eastAsia="zh-CN"/>
        </w:rPr>
        <w:t>6</w:t>
      </w:r>
      <w:r>
        <w:rPr>
          <w:rFonts w:hint="default" w:ascii="Times New Roman" w:hAnsi="Times New Roman" w:cs="Times New Roman"/>
          <w:color w:val="auto"/>
        </w:rPr>
        <w:t>.《中华人民共和国突发事件应对法》（主席令</w:t>
      </w:r>
      <w:r>
        <w:rPr>
          <w:rFonts w:hint="default" w:ascii="Times New Roman" w:hAnsi="Times New Roman" w:cs="Times New Roman"/>
          <w:color w:val="auto"/>
          <w:lang w:eastAsia="zh-CN"/>
        </w:rPr>
        <w:t>〔</w:t>
      </w:r>
      <w:r>
        <w:rPr>
          <w:rFonts w:hint="default" w:ascii="Times New Roman" w:hAnsi="Times New Roman" w:cs="Times New Roman"/>
          <w:color w:val="auto"/>
        </w:rPr>
        <w:t>2007</w:t>
      </w:r>
      <w:r>
        <w:rPr>
          <w:rFonts w:hint="default" w:ascii="Times New Roman" w:hAnsi="Times New Roman" w:cs="Times New Roman"/>
          <w:color w:val="auto"/>
          <w:lang w:eastAsia="zh-CN"/>
        </w:rPr>
        <w:t>〕</w:t>
      </w:r>
      <w:r>
        <w:rPr>
          <w:rFonts w:hint="default" w:ascii="Times New Roman" w:hAnsi="Times New Roman" w:cs="Times New Roman"/>
          <w:color w:val="auto"/>
        </w:rPr>
        <w:t>第69号</w:t>
      </w:r>
      <w:r>
        <w:rPr>
          <w:rFonts w:hint="eastAsia" w:ascii="Times New Roman" w:hAnsi="Times New Roman" w:cs="Times New Roman"/>
          <w:color w:val="auto"/>
          <w:lang w:eastAsia="zh-CN"/>
        </w:rPr>
        <w:t>，</w:t>
      </w:r>
      <w:r>
        <w:rPr>
          <w:rFonts w:hint="default" w:ascii="Times New Roman" w:hAnsi="Times New Roman" w:cs="Times New Roman"/>
          <w:color w:val="auto"/>
        </w:rPr>
        <w:t>经主席令</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2024</w:t>
      </w:r>
      <w:r>
        <w:rPr>
          <w:rFonts w:hint="default" w:ascii="Times New Roman" w:hAnsi="Times New Roman" w:cs="Times New Roman"/>
          <w:color w:val="auto"/>
          <w:lang w:eastAsia="zh-CN"/>
        </w:rPr>
        <w:t>〕</w:t>
      </w:r>
      <w:r>
        <w:rPr>
          <w:rFonts w:hint="default" w:ascii="Times New Roman" w:hAnsi="Times New Roman" w:cs="Times New Roman"/>
          <w:color w:val="auto"/>
        </w:rPr>
        <w:t>第</w:t>
      </w:r>
      <w:r>
        <w:rPr>
          <w:rFonts w:hint="default" w:ascii="Times New Roman" w:hAnsi="Times New Roman" w:cs="Times New Roman"/>
          <w:color w:val="auto"/>
          <w:lang w:val="en-US" w:eastAsia="zh-CN"/>
        </w:rPr>
        <w:t>25</w:t>
      </w:r>
      <w:r>
        <w:rPr>
          <w:rFonts w:hint="default" w:ascii="Times New Roman" w:hAnsi="Times New Roman" w:cs="Times New Roman"/>
          <w:color w:val="auto"/>
        </w:rPr>
        <w:t>号</w:t>
      </w:r>
      <w:r>
        <w:rPr>
          <w:rFonts w:hint="default" w:ascii="Times New Roman" w:hAnsi="Times New Roman" w:cs="Times New Roman"/>
          <w:color w:val="auto"/>
          <w:lang w:val="en-US" w:eastAsia="zh-CN"/>
        </w:rPr>
        <w:t>修订</w:t>
      </w:r>
      <w:r>
        <w:rPr>
          <w:rFonts w:hint="eastAsia" w:ascii="Times New Roman" w:hAnsi="Times New Roman" w:cs="Times New Roman"/>
          <w:color w:val="auto"/>
          <w:lang w:val="en-US" w:eastAsia="zh-CN"/>
        </w:rPr>
        <w:t>，</w:t>
      </w:r>
      <w:r>
        <w:rPr>
          <w:rFonts w:hint="default" w:ascii="Times New Roman" w:hAnsi="Times New Roman" w:cs="Times New Roman"/>
          <w:color w:val="auto"/>
        </w:rPr>
        <w:t>自20</w:t>
      </w:r>
      <w:r>
        <w:rPr>
          <w:rFonts w:hint="default" w:ascii="Times New Roman" w:hAnsi="Times New Roman" w:cs="Times New Roman"/>
          <w:color w:val="auto"/>
          <w:lang w:val="en-US" w:eastAsia="zh-CN"/>
        </w:rPr>
        <w:t>24</w:t>
      </w:r>
      <w:r>
        <w:rPr>
          <w:rFonts w:hint="default" w:ascii="Times New Roman" w:hAnsi="Times New Roman" w:cs="Times New Roman"/>
          <w:color w:val="auto"/>
        </w:rPr>
        <w:t>年11月1日起施行）</w:t>
      </w:r>
    </w:p>
    <w:p w14:paraId="338F3171">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7.《中华人民共和国防洪法》（主席令〔1997〕第88号</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经主席令〔2009〕第18号、主席令〔2015〕第23号、主席令〔2016〕第48号修正</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自1998年1月1日起施行）</w:t>
      </w:r>
    </w:p>
    <w:p w14:paraId="7A60CCE4">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8.《中华人民共和国气象法》（主席令〔1999〕第23号</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经主席令〔2009〕第18号、主席令〔2014〕第14号、主席令〔2016〕第57号修正</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自2000年1月1日起施行）</w:t>
      </w:r>
    </w:p>
    <w:p w14:paraId="1BBB063C">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9.《中华人民共和国防震减灾法》（主席令〔1997〕第94号</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经主席令〔2008〕第7号修订</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自2009年5月1日起施行）</w:t>
      </w:r>
    </w:p>
    <w:p w14:paraId="18BA2675">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10.《中华人民共和国水土保持法》（主席令〔1991〕第49号</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经主席令〔2009〕第18号修正</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经主席令〔2010〕第39号修订</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自2011年3月1日起施行）</w:t>
      </w:r>
    </w:p>
    <w:p w14:paraId="459B832B">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11.《中华人民共和国环境保护法》（主席令〔1989〕第22号</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经主席令〔2014〕第9号修订</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自2015年1月1日起施行）</w:t>
      </w:r>
    </w:p>
    <w:p w14:paraId="61BF4285">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12.《中华人民共和国固体废物污染环境防治法》（主席令〔1995〕第60号</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经主席令〔2004〕第31号、主席令〔2013〕第5号、主席令〔2015〕第31号、主席令〔2016〕第57号修正</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经主席令〔2020〕第43号修订</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自2020年9月1日起施行）</w:t>
      </w:r>
    </w:p>
    <w:p w14:paraId="674E6387">
      <w:pPr>
        <w:pStyle w:val="5"/>
        <w:bidi w:val="0"/>
        <w:rPr>
          <w:rFonts w:hint="default" w:ascii="Times New Roman" w:hAnsi="Times New Roman" w:eastAsia="宋体" w:cs="Times New Roman"/>
          <w:color w:val="auto"/>
          <w:lang w:val="en-US" w:eastAsia="zh-CN"/>
        </w:rPr>
      </w:pPr>
      <w:bookmarkStart w:id="15" w:name="_Toc22324"/>
      <w:bookmarkStart w:id="16" w:name="_Toc2993"/>
      <w:bookmarkStart w:id="17" w:name="_Toc3155"/>
      <w:r>
        <w:rPr>
          <w:rFonts w:hint="default" w:ascii="Times New Roman" w:hAnsi="Times New Roman" w:cs="Times New Roman"/>
          <w:color w:val="auto"/>
          <w:lang w:val="en-US" w:eastAsia="zh-CN"/>
        </w:rPr>
        <w:t>1.2.2行政法规</w:t>
      </w:r>
      <w:bookmarkEnd w:id="15"/>
      <w:bookmarkEnd w:id="16"/>
      <w:bookmarkEnd w:id="17"/>
    </w:p>
    <w:p w14:paraId="23CBBA40">
      <w:pPr>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w:t>
      </w:r>
      <w:r>
        <w:rPr>
          <w:rFonts w:hint="default" w:ascii="Times New Roman" w:hAnsi="Times New Roman" w:cs="Times New Roman"/>
          <w:color w:val="auto"/>
          <w:lang w:val="en-US" w:eastAsia="zh-CN"/>
        </w:rPr>
        <w:t>《建设项目环境保护管理条例》（国务院令〔</w:t>
      </w:r>
      <w:r>
        <w:rPr>
          <w:rFonts w:hint="eastAsia" w:ascii="Times New Roman" w:hAnsi="Times New Roman" w:cs="Times New Roman"/>
          <w:color w:val="auto"/>
          <w:lang w:val="en-US" w:eastAsia="zh-CN"/>
        </w:rPr>
        <w:t>1998</w:t>
      </w:r>
      <w:r>
        <w:rPr>
          <w:rFonts w:hint="default" w:ascii="Times New Roman" w:hAnsi="Times New Roman" w:cs="Times New Roman"/>
          <w:color w:val="auto"/>
          <w:lang w:val="en-US" w:eastAsia="zh-CN"/>
        </w:rPr>
        <w:t>〕第</w:t>
      </w:r>
      <w:r>
        <w:rPr>
          <w:rFonts w:hint="eastAsia" w:ascii="Times New Roman" w:hAnsi="Times New Roman" w:cs="Times New Roman"/>
          <w:color w:val="auto"/>
          <w:lang w:val="en-US" w:eastAsia="zh-CN"/>
        </w:rPr>
        <w:t>253</w:t>
      </w:r>
      <w:r>
        <w:rPr>
          <w:rFonts w:hint="default" w:ascii="Times New Roman" w:hAnsi="Times New Roman" w:cs="Times New Roman"/>
          <w:color w:val="auto"/>
          <w:lang w:val="en-US" w:eastAsia="zh-CN"/>
        </w:rPr>
        <w:t>号，经国务院令〔201</w:t>
      </w:r>
      <w:r>
        <w:rPr>
          <w:rFonts w:hint="eastAsia" w:ascii="Times New Roman" w:hAnsi="Times New Roman" w:cs="Times New Roman"/>
          <w:color w:val="auto"/>
          <w:lang w:val="en-US" w:eastAsia="zh-CN"/>
        </w:rPr>
        <w:t>7</w:t>
      </w:r>
      <w:r>
        <w:rPr>
          <w:rFonts w:hint="default" w:ascii="Times New Roman" w:hAnsi="Times New Roman" w:cs="Times New Roman"/>
          <w:color w:val="auto"/>
          <w:lang w:val="en-US" w:eastAsia="zh-CN"/>
        </w:rPr>
        <w:t>〕第6</w:t>
      </w:r>
      <w:r>
        <w:rPr>
          <w:rFonts w:hint="eastAsia" w:ascii="Times New Roman" w:hAnsi="Times New Roman" w:cs="Times New Roman"/>
          <w:color w:val="auto"/>
          <w:lang w:val="en-US" w:eastAsia="zh-CN"/>
        </w:rPr>
        <w:t>82</w:t>
      </w:r>
      <w:r>
        <w:rPr>
          <w:rFonts w:hint="default" w:ascii="Times New Roman" w:hAnsi="Times New Roman" w:cs="Times New Roman"/>
          <w:color w:val="auto"/>
          <w:lang w:val="en-US" w:eastAsia="zh-CN"/>
        </w:rPr>
        <w:t>号修正，自</w:t>
      </w:r>
      <w:r>
        <w:rPr>
          <w:rFonts w:hint="eastAsia" w:ascii="Times New Roman" w:hAnsi="Times New Roman" w:cs="Times New Roman"/>
          <w:color w:val="auto"/>
          <w:lang w:val="en-US" w:eastAsia="zh-CN"/>
        </w:rPr>
        <w:t>1998</w:t>
      </w:r>
      <w:r>
        <w:rPr>
          <w:rFonts w:hint="default" w:ascii="Times New Roman" w:hAnsi="Times New Roman" w:cs="Times New Roman"/>
          <w:color w:val="auto"/>
          <w:lang w:val="en-US" w:eastAsia="zh-CN"/>
        </w:rPr>
        <w:t>年1</w:t>
      </w:r>
      <w:r>
        <w:rPr>
          <w:rFonts w:hint="eastAsia" w:ascii="Times New Roman" w:hAnsi="Times New Roman" w:cs="Times New Roman"/>
          <w:color w:val="auto"/>
          <w:lang w:val="en-US" w:eastAsia="zh-CN"/>
        </w:rPr>
        <w:t>1</w:t>
      </w:r>
      <w:r>
        <w:rPr>
          <w:rFonts w:hint="default" w:ascii="Times New Roman" w:hAnsi="Times New Roman" w:cs="Times New Roman"/>
          <w:color w:val="auto"/>
          <w:lang w:val="en-US" w:eastAsia="zh-CN"/>
        </w:rPr>
        <w:t>月</w:t>
      </w:r>
      <w:r>
        <w:rPr>
          <w:rFonts w:hint="eastAsia" w:ascii="Times New Roman" w:hAnsi="Times New Roman" w:cs="Times New Roman"/>
          <w:color w:val="auto"/>
          <w:lang w:val="en-US" w:eastAsia="zh-CN"/>
        </w:rPr>
        <w:t>29</w:t>
      </w:r>
      <w:r>
        <w:rPr>
          <w:rFonts w:hint="default" w:ascii="Times New Roman" w:hAnsi="Times New Roman" w:cs="Times New Roman"/>
          <w:color w:val="auto"/>
          <w:lang w:val="en-US" w:eastAsia="zh-CN"/>
        </w:rPr>
        <w:t>日起施行）</w:t>
      </w:r>
    </w:p>
    <w:p w14:paraId="7ACF0B74">
      <w:pPr>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2.《建设工程质量管理条例》（国务院令〔2000〕第279号，经国务院令〔2017〕第687号、国务院令〔2019〕第714号修正，自2000年01月30日期实施）</w:t>
      </w:r>
    </w:p>
    <w:p w14:paraId="471D4BEF">
      <w:pPr>
        <w:bidi w:val="0"/>
        <w:rPr>
          <w:rFonts w:hint="default" w:ascii="Times New Roman" w:hAnsi="Times New Roman" w:cs="Times New Roman"/>
          <w:color w:val="auto"/>
        </w:rPr>
      </w:pP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w:t>
      </w:r>
      <w:r>
        <w:rPr>
          <w:rFonts w:hint="default" w:ascii="Times New Roman" w:hAnsi="Times New Roman" w:cs="Times New Roman"/>
          <w:color w:val="auto"/>
        </w:rPr>
        <w:t>《工伤保险条例》（国务院令</w:t>
      </w:r>
      <w:r>
        <w:rPr>
          <w:rFonts w:hint="default" w:ascii="Times New Roman" w:hAnsi="Times New Roman" w:cs="Times New Roman"/>
          <w:color w:val="auto"/>
          <w:lang w:eastAsia="zh-CN"/>
        </w:rPr>
        <w:t>〔</w:t>
      </w:r>
      <w:r>
        <w:rPr>
          <w:rFonts w:hint="default" w:ascii="Times New Roman" w:hAnsi="Times New Roman" w:cs="Times New Roman"/>
          <w:color w:val="auto"/>
        </w:rPr>
        <w:t>20</w:t>
      </w:r>
      <w:r>
        <w:rPr>
          <w:rFonts w:hint="default" w:ascii="Times New Roman" w:hAnsi="Times New Roman" w:cs="Times New Roman"/>
          <w:color w:val="auto"/>
          <w:lang w:val="en-US" w:eastAsia="zh-CN"/>
        </w:rPr>
        <w:t>03</w:t>
      </w:r>
      <w:r>
        <w:rPr>
          <w:rFonts w:hint="default" w:ascii="Times New Roman" w:hAnsi="Times New Roman" w:cs="Times New Roman"/>
          <w:color w:val="auto"/>
          <w:lang w:eastAsia="zh-CN"/>
        </w:rPr>
        <w:t>〕</w:t>
      </w:r>
      <w:r>
        <w:rPr>
          <w:rFonts w:hint="default" w:ascii="Times New Roman" w:hAnsi="Times New Roman" w:cs="Times New Roman"/>
          <w:color w:val="auto"/>
        </w:rPr>
        <w:t>第375号</w:t>
      </w:r>
      <w:r>
        <w:rPr>
          <w:rFonts w:hint="eastAsia" w:ascii="Times New Roman" w:hAnsi="Times New Roman" w:cs="Times New Roman"/>
          <w:color w:val="auto"/>
          <w:lang w:eastAsia="zh-CN"/>
        </w:rPr>
        <w:t>，</w:t>
      </w:r>
      <w:r>
        <w:rPr>
          <w:rFonts w:hint="default" w:ascii="Times New Roman" w:hAnsi="Times New Roman" w:cs="Times New Roman"/>
          <w:color w:val="auto"/>
        </w:rPr>
        <w:t>经国务院令</w:t>
      </w:r>
      <w:r>
        <w:rPr>
          <w:rFonts w:hint="default" w:ascii="Times New Roman" w:hAnsi="Times New Roman" w:cs="Times New Roman"/>
          <w:color w:val="auto"/>
          <w:lang w:eastAsia="zh-CN"/>
        </w:rPr>
        <w:t>〔</w:t>
      </w:r>
      <w:r>
        <w:rPr>
          <w:rFonts w:hint="default" w:ascii="Times New Roman" w:hAnsi="Times New Roman" w:cs="Times New Roman"/>
          <w:color w:val="auto"/>
        </w:rPr>
        <w:t>2010</w:t>
      </w:r>
      <w:r>
        <w:rPr>
          <w:rFonts w:hint="default" w:ascii="Times New Roman" w:hAnsi="Times New Roman" w:cs="Times New Roman"/>
          <w:color w:val="auto"/>
          <w:lang w:eastAsia="zh-CN"/>
        </w:rPr>
        <w:t>〕</w:t>
      </w:r>
      <w:r>
        <w:rPr>
          <w:rFonts w:hint="default" w:ascii="Times New Roman" w:hAnsi="Times New Roman" w:cs="Times New Roman"/>
          <w:color w:val="auto"/>
        </w:rPr>
        <w:t>第586号修</w:t>
      </w:r>
      <w:r>
        <w:rPr>
          <w:rFonts w:hint="default" w:ascii="Times New Roman" w:hAnsi="Times New Roman" w:cs="Times New Roman"/>
          <w:color w:val="auto"/>
          <w:lang w:val="en-US" w:eastAsia="zh-CN"/>
        </w:rPr>
        <w:t>正</w:t>
      </w:r>
      <w:r>
        <w:rPr>
          <w:rFonts w:hint="eastAsia" w:ascii="Times New Roman" w:hAnsi="Times New Roman" w:cs="Times New Roman"/>
          <w:color w:val="auto"/>
          <w:lang w:eastAsia="zh-CN"/>
        </w:rPr>
        <w:t>，</w:t>
      </w:r>
      <w:r>
        <w:rPr>
          <w:rFonts w:hint="default" w:ascii="Times New Roman" w:hAnsi="Times New Roman" w:cs="Times New Roman"/>
          <w:color w:val="auto"/>
        </w:rPr>
        <w:t>自20</w:t>
      </w:r>
      <w:r>
        <w:rPr>
          <w:rFonts w:hint="default" w:ascii="Times New Roman" w:hAnsi="Times New Roman" w:cs="Times New Roman"/>
          <w:color w:val="auto"/>
          <w:lang w:val="en-US" w:eastAsia="zh-CN"/>
        </w:rPr>
        <w:t>04</w:t>
      </w:r>
      <w:r>
        <w:rPr>
          <w:rFonts w:hint="default" w:ascii="Times New Roman" w:hAnsi="Times New Roman" w:cs="Times New Roman"/>
          <w:color w:val="auto"/>
        </w:rPr>
        <w:t>年1月1日起施行）</w:t>
      </w:r>
    </w:p>
    <w:p w14:paraId="1287398D">
      <w:pPr>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w:t>
      </w:r>
      <w:r>
        <w:rPr>
          <w:rFonts w:hint="default" w:ascii="Times New Roman" w:hAnsi="Times New Roman" w:cs="Times New Roman"/>
          <w:color w:val="auto"/>
          <w:lang w:val="en-US" w:eastAsia="zh-CN"/>
        </w:rPr>
        <w:t>《建设工程安全生产管理条例》（国务院令〔200</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〕第</w:t>
      </w:r>
      <w:r>
        <w:rPr>
          <w:rFonts w:hint="eastAsia" w:ascii="Times New Roman" w:hAnsi="Times New Roman" w:cs="Times New Roman"/>
          <w:color w:val="auto"/>
          <w:lang w:val="en-US" w:eastAsia="zh-CN"/>
        </w:rPr>
        <w:t>393</w:t>
      </w:r>
      <w:r>
        <w:rPr>
          <w:rFonts w:hint="default" w:ascii="Times New Roman" w:hAnsi="Times New Roman" w:cs="Times New Roman"/>
          <w:color w:val="auto"/>
          <w:lang w:val="en-US" w:eastAsia="zh-CN"/>
        </w:rPr>
        <w:t>号，</w:t>
      </w:r>
      <w:r>
        <w:rPr>
          <w:rFonts w:hint="eastAsia" w:ascii="Times New Roman" w:hAnsi="Times New Roman" w:cs="Times New Roman"/>
          <w:color w:val="auto"/>
          <w:lang w:val="en-US" w:eastAsia="zh-CN"/>
        </w:rPr>
        <w:t>自</w:t>
      </w:r>
      <w:r>
        <w:rPr>
          <w:rFonts w:hint="default" w:ascii="Times New Roman" w:hAnsi="Times New Roman" w:cs="Times New Roman"/>
          <w:color w:val="auto"/>
          <w:lang w:val="en-US" w:eastAsia="zh-CN"/>
        </w:rPr>
        <w:t>2004年02月01日</w:t>
      </w:r>
      <w:r>
        <w:rPr>
          <w:rFonts w:hint="eastAsia" w:ascii="Times New Roman" w:hAnsi="Times New Roman" w:cs="Times New Roman"/>
          <w:color w:val="auto"/>
          <w:lang w:val="en-US" w:eastAsia="zh-CN"/>
        </w:rPr>
        <w:t>起</w:t>
      </w:r>
      <w:r>
        <w:rPr>
          <w:rFonts w:hint="default" w:ascii="Times New Roman" w:hAnsi="Times New Roman" w:cs="Times New Roman"/>
          <w:color w:val="auto"/>
          <w:lang w:val="en-US" w:eastAsia="zh-CN"/>
        </w:rPr>
        <w:t>实施）</w:t>
      </w:r>
    </w:p>
    <w:p w14:paraId="2850CB8D">
      <w:pPr>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w:t>
      </w:r>
      <w:r>
        <w:rPr>
          <w:rFonts w:hint="default" w:ascii="Times New Roman" w:hAnsi="Times New Roman" w:cs="Times New Roman"/>
          <w:color w:val="auto"/>
          <w:lang w:val="en-US" w:eastAsia="zh-CN"/>
        </w:rPr>
        <w:t>.</w:t>
      </w:r>
      <w:r>
        <w:rPr>
          <w:rFonts w:hint="default" w:ascii="Times New Roman" w:hAnsi="Times New Roman" w:cs="Times New Roman"/>
          <w:color w:val="auto"/>
        </w:rPr>
        <w:t>《地质灾害防治条例》</w:t>
      </w:r>
      <w:r>
        <w:rPr>
          <w:rFonts w:hint="default" w:ascii="Times New Roman" w:hAnsi="Times New Roman" w:cs="Times New Roman"/>
          <w:color w:val="auto"/>
          <w:lang w:val="en-US" w:eastAsia="zh-CN"/>
        </w:rPr>
        <w:t>（</w:t>
      </w:r>
      <w:r>
        <w:rPr>
          <w:rFonts w:hint="default" w:ascii="Times New Roman" w:hAnsi="Times New Roman" w:cs="Times New Roman"/>
          <w:color w:val="auto"/>
        </w:rPr>
        <w:t>国务院令</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2003</w:t>
      </w:r>
      <w:r>
        <w:rPr>
          <w:rFonts w:hint="default" w:ascii="Times New Roman" w:hAnsi="Times New Roman" w:cs="Times New Roman"/>
          <w:color w:val="auto"/>
          <w:lang w:eastAsia="zh-CN"/>
        </w:rPr>
        <w:t>〕</w:t>
      </w:r>
      <w:r>
        <w:rPr>
          <w:rFonts w:hint="default" w:ascii="Times New Roman" w:hAnsi="Times New Roman" w:cs="Times New Roman"/>
          <w:color w:val="auto"/>
        </w:rPr>
        <w:t>第</w:t>
      </w:r>
      <w:r>
        <w:rPr>
          <w:rFonts w:hint="default" w:ascii="Times New Roman" w:hAnsi="Times New Roman" w:cs="Times New Roman"/>
          <w:color w:val="auto"/>
          <w:lang w:val="en-US" w:eastAsia="zh-CN"/>
        </w:rPr>
        <w:t>394</w:t>
      </w:r>
      <w:r>
        <w:rPr>
          <w:rFonts w:hint="default" w:ascii="Times New Roman" w:hAnsi="Times New Roman" w:cs="Times New Roman"/>
          <w:color w:val="auto"/>
        </w:rPr>
        <w:t>号</w:t>
      </w:r>
      <w:r>
        <w:rPr>
          <w:rFonts w:hint="eastAsia" w:ascii="Times New Roman" w:hAnsi="Times New Roman" w:cs="Times New Roman"/>
          <w:color w:val="auto"/>
          <w:lang w:eastAsia="zh-CN"/>
        </w:rPr>
        <w:t>，</w:t>
      </w:r>
      <w:r>
        <w:rPr>
          <w:rFonts w:hint="default" w:ascii="Times New Roman" w:hAnsi="Times New Roman" w:cs="Times New Roman"/>
          <w:color w:val="auto"/>
          <w:lang w:val="en-US" w:eastAsia="zh-CN"/>
        </w:rPr>
        <w:t>自2004年3月1日起施行）</w:t>
      </w:r>
    </w:p>
    <w:p w14:paraId="6C7EE909">
      <w:pPr>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6.</w:t>
      </w:r>
      <w:r>
        <w:rPr>
          <w:rFonts w:hint="default" w:ascii="Times New Roman" w:hAnsi="Times New Roman" w:cs="Times New Roman"/>
          <w:color w:val="auto"/>
          <w:lang w:val="en-US" w:eastAsia="zh-CN"/>
        </w:rPr>
        <w:t>《安全生产许可证条例》</w:t>
      </w:r>
      <w:r>
        <w:rPr>
          <w:rFonts w:hint="eastAsia" w:ascii="Times New Roman" w:hAnsi="Times New Roman" w:cs="Times New Roman"/>
          <w:color w:val="auto"/>
          <w:lang w:val="en-US" w:eastAsia="zh-CN"/>
        </w:rPr>
        <w:t>（国务院令〔2004〕第397号，经国务院令〔2013〕第638号、国务院令〔2014〕第653号修正，自2004年1月13日起施行）</w:t>
      </w:r>
    </w:p>
    <w:p w14:paraId="07FA1FF4">
      <w:pPr>
        <w:bidi w:val="0"/>
        <w:rPr>
          <w:rFonts w:hint="default" w:ascii="Times New Roman" w:hAnsi="Times New Roman" w:cs="Times New Roman"/>
          <w:color w:val="auto"/>
        </w:rPr>
      </w:pPr>
      <w:r>
        <w:rPr>
          <w:rFonts w:hint="eastAsia" w:ascii="Times New Roman" w:hAnsi="Times New Roman" w:cs="Times New Roman"/>
          <w:color w:val="auto"/>
          <w:lang w:val="en-US" w:eastAsia="zh-CN"/>
        </w:rPr>
        <w:t>7</w:t>
      </w:r>
      <w:r>
        <w:rPr>
          <w:rFonts w:hint="default" w:ascii="Times New Roman" w:hAnsi="Times New Roman" w:cs="Times New Roman"/>
          <w:color w:val="auto"/>
          <w:lang w:val="en-US" w:eastAsia="zh-CN"/>
        </w:rPr>
        <w:t>.</w:t>
      </w:r>
      <w:r>
        <w:rPr>
          <w:rFonts w:hint="default" w:ascii="Times New Roman" w:hAnsi="Times New Roman" w:cs="Times New Roman"/>
          <w:color w:val="auto"/>
        </w:rPr>
        <w:t>《劳动保障监察条例》（国务院令</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2004</w:t>
      </w:r>
      <w:r>
        <w:rPr>
          <w:rFonts w:hint="default" w:ascii="Times New Roman" w:hAnsi="Times New Roman" w:cs="Times New Roman"/>
          <w:color w:val="auto"/>
          <w:lang w:eastAsia="zh-CN"/>
        </w:rPr>
        <w:t>〕</w:t>
      </w:r>
      <w:r>
        <w:rPr>
          <w:rFonts w:hint="default" w:ascii="Times New Roman" w:hAnsi="Times New Roman" w:cs="Times New Roman"/>
          <w:color w:val="auto"/>
        </w:rPr>
        <w:t>第423号</w:t>
      </w:r>
      <w:r>
        <w:rPr>
          <w:rFonts w:hint="eastAsia" w:ascii="Times New Roman" w:hAnsi="Times New Roman" w:cs="Times New Roman"/>
          <w:color w:val="auto"/>
          <w:lang w:eastAsia="zh-CN"/>
        </w:rPr>
        <w:t>，</w:t>
      </w:r>
      <w:r>
        <w:rPr>
          <w:rFonts w:hint="default" w:ascii="Times New Roman" w:hAnsi="Times New Roman" w:cs="Times New Roman"/>
          <w:color w:val="auto"/>
        </w:rPr>
        <w:t>自2004年12月1日起施行）</w:t>
      </w:r>
    </w:p>
    <w:p w14:paraId="17622BFE">
      <w:pPr>
        <w:bidi w:val="0"/>
        <w:rPr>
          <w:rFonts w:hint="default" w:ascii="Times New Roman" w:hAnsi="Times New Roman" w:cs="Times New Roman"/>
          <w:color w:val="auto"/>
        </w:rPr>
      </w:pPr>
      <w:r>
        <w:rPr>
          <w:rFonts w:hint="eastAsia" w:ascii="Times New Roman" w:hAnsi="Times New Roman" w:cs="Times New Roman"/>
          <w:color w:val="auto"/>
          <w:lang w:val="en-US" w:eastAsia="zh-CN"/>
        </w:rPr>
        <w:t>8</w:t>
      </w:r>
      <w:r>
        <w:rPr>
          <w:rFonts w:hint="default" w:ascii="Times New Roman" w:hAnsi="Times New Roman" w:cs="Times New Roman"/>
          <w:color w:val="auto"/>
          <w:lang w:val="en-US" w:eastAsia="zh-CN"/>
        </w:rPr>
        <w:t>.</w:t>
      </w:r>
      <w:r>
        <w:rPr>
          <w:rFonts w:hint="default" w:ascii="Times New Roman" w:hAnsi="Times New Roman" w:cs="Times New Roman"/>
          <w:color w:val="auto"/>
        </w:rPr>
        <w:t>《生产安全事故报告和调查处理条例》</w:t>
      </w:r>
      <w:r>
        <w:rPr>
          <w:rFonts w:hint="default" w:ascii="Times New Roman" w:hAnsi="Times New Roman" w:cs="Times New Roman"/>
          <w:color w:val="auto"/>
          <w:lang w:val="en-US" w:eastAsia="zh-CN"/>
        </w:rPr>
        <w:t>（</w:t>
      </w:r>
      <w:r>
        <w:rPr>
          <w:rFonts w:hint="default" w:ascii="Times New Roman" w:hAnsi="Times New Roman" w:cs="Times New Roman"/>
          <w:color w:val="auto"/>
        </w:rPr>
        <w:t>国务院令</w:t>
      </w:r>
      <w:r>
        <w:rPr>
          <w:rFonts w:hint="default" w:ascii="Times New Roman" w:hAnsi="Times New Roman" w:cs="Times New Roman"/>
          <w:color w:val="auto"/>
          <w:lang w:eastAsia="zh-CN"/>
        </w:rPr>
        <w:t>〔</w:t>
      </w:r>
      <w:r>
        <w:rPr>
          <w:rFonts w:hint="default" w:ascii="Times New Roman" w:hAnsi="Times New Roman" w:cs="Times New Roman"/>
          <w:color w:val="auto"/>
        </w:rPr>
        <w:t>20</w:t>
      </w:r>
      <w:r>
        <w:rPr>
          <w:rFonts w:hint="default" w:ascii="Times New Roman" w:hAnsi="Times New Roman" w:cs="Times New Roman"/>
          <w:color w:val="auto"/>
          <w:lang w:val="en-US" w:eastAsia="zh-CN"/>
        </w:rPr>
        <w:t>07</w:t>
      </w:r>
      <w:r>
        <w:rPr>
          <w:rFonts w:hint="default" w:ascii="Times New Roman" w:hAnsi="Times New Roman" w:cs="Times New Roman"/>
          <w:color w:val="auto"/>
          <w:lang w:eastAsia="zh-CN"/>
        </w:rPr>
        <w:t>〕</w:t>
      </w:r>
      <w:r>
        <w:rPr>
          <w:rFonts w:hint="default" w:ascii="Times New Roman" w:hAnsi="Times New Roman" w:cs="Times New Roman"/>
          <w:color w:val="auto"/>
        </w:rPr>
        <w:t>第</w:t>
      </w:r>
      <w:r>
        <w:rPr>
          <w:rFonts w:hint="default" w:ascii="Times New Roman" w:hAnsi="Times New Roman" w:cs="Times New Roman"/>
          <w:color w:val="auto"/>
          <w:lang w:val="en-US" w:eastAsia="zh-CN"/>
        </w:rPr>
        <w:t>493</w:t>
      </w:r>
      <w:r>
        <w:rPr>
          <w:rFonts w:hint="default" w:ascii="Times New Roman" w:hAnsi="Times New Roman" w:cs="Times New Roman"/>
          <w:color w:val="auto"/>
        </w:rPr>
        <w:t>号</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自2007年6月1日起施行</w:t>
      </w:r>
      <w:r>
        <w:rPr>
          <w:rFonts w:hint="default" w:ascii="Times New Roman" w:hAnsi="Times New Roman" w:cs="Times New Roman"/>
          <w:color w:val="auto"/>
        </w:rPr>
        <w:t>）</w:t>
      </w:r>
    </w:p>
    <w:p w14:paraId="7953DE25">
      <w:pPr>
        <w:bidi w:val="0"/>
        <w:rPr>
          <w:rFonts w:hint="default" w:ascii="Times New Roman" w:hAnsi="Times New Roman" w:cs="Times New Roman"/>
          <w:color w:val="auto"/>
        </w:rPr>
      </w:pPr>
      <w:r>
        <w:rPr>
          <w:rFonts w:hint="eastAsia" w:ascii="Times New Roman" w:hAnsi="Times New Roman" w:cs="Times New Roman"/>
          <w:color w:val="auto"/>
          <w:lang w:val="en-US" w:eastAsia="zh-CN"/>
        </w:rPr>
        <w:t>9</w:t>
      </w:r>
      <w:r>
        <w:rPr>
          <w:rFonts w:hint="default" w:ascii="Times New Roman" w:hAnsi="Times New Roman" w:cs="Times New Roman"/>
          <w:color w:val="auto"/>
          <w:lang w:val="en-US" w:eastAsia="zh-CN"/>
        </w:rPr>
        <w:t>.</w:t>
      </w:r>
      <w:r>
        <w:rPr>
          <w:rFonts w:hint="default" w:ascii="Times New Roman" w:hAnsi="Times New Roman" w:cs="Times New Roman"/>
          <w:color w:val="auto"/>
        </w:rPr>
        <w:t>《生产安全事故应急条例》（国务院令</w:t>
      </w:r>
      <w:r>
        <w:rPr>
          <w:rFonts w:hint="default" w:ascii="Times New Roman" w:hAnsi="Times New Roman" w:cs="Times New Roman"/>
          <w:color w:val="auto"/>
          <w:lang w:eastAsia="zh-CN"/>
        </w:rPr>
        <w:t>〔</w:t>
      </w:r>
      <w:r>
        <w:rPr>
          <w:rFonts w:hint="default" w:ascii="Times New Roman" w:hAnsi="Times New Roman" w:cs="Times New Roman"/>
          <w:color w:val="auto"/>
        </w:rPr>
        <w:t>20</w:t>
      </w:r>
      <w:r>
        <w:rPr>
          <w:rFonts w:hint="default" w:ascii="Times New Roman" w:hAnsi="Times New Roman" w:cs="Times New Roman"/>
          <w:color w:val="auto"/>
          <w:lang w:val="en-US" w:eastAsia="zh-CN"/>
        </w:rPr>
        <w:t>18</w:t>
      </w:r>
      <w:r>
        <w:rPr>
          <w:rFonts w:hint="default" w:ascii="Times New Roman" w:hAnsi="Times New Roman" w:cs="Times New Roman"/>
          <w:color w:val="auto"/>
          <w:lang w:eastAsia="zh-CN"/>
        </w:rPr>
        <w:t>〕</w:t>
      </w:r>
      <w:r>
        <w:rPr>
          <w:rFonts w:hint="default" w:ascii="Times New Roman" w:hAnsi="Times New Roman" w:cs="Times New Roman"/>
          <w:color w:val="auto"/>
        </w:rPr>
        <w:t>第</w:t>
      </w:r>
      <w:r>
        <w:rPr>
          <w:rFonts w:hint="default" w:ascii="Times New Roman" w:hAnsi="Times New Roman" w:cs="Times New Roman"/>
          <w:color w:val="auto"/>
          <w:lang w:val="en-US" w:eastAsia="zh-CN"/>
        </w:rPr>
        <w:t>708</w:t>
      </w:r>
      <w:r>
        <w:rPr>
          <w:rFonts w:hint="default" w:ascii="Times New Roman" w:hAnsi="Times New Roman" w:cs="Times New Roman"/>
          <w:color w:val="auto"/>
        </w:rPr>
        <w:t>号</w:t>
      </w:r>
      <w:r>
        <w:rPr>
          <w:rFonts w:hint="eastAsia" w:ascii="Times New Roman" w:hAnsi="Times New Roman" w:cs="Times New Roman"/>
          <w:color w:val="auto"/>
          <w:lang w:eastAsia="zh-CN"/>
        </w:rPr>
        <w:t>，</w:t>
      </w:r>
      <w:r>
        <w:rPr>
          <w:rFonts w:hint="default" w:ascii="Times New Roman" w:hAnsi="Times New Roman" w:cs="Times New Roman"/>
          <w:color w:val="auto"/>
          <w:lang w:val="en-US" w:eastAsia="zh-CN"/>
        </w:rPr>
        <w:t>自</w:t>
      </w:r>
      <w:r>
        <w:rPr>
          <w:rFonts w:hint="default" w:ascii="Times New Roman" w:hAnsi="Times New Roman" w:cs="Times New Roman"/>
          <w:color w:val="auto"/>
        </w:rPr>
        <w:t>2019年4月1日起施行）</w:t>
      </w:r>
    </w:p>
    <w:p w14:paraId="04AD55C5">
      <w:pPr>
        <w:pStyle w:val="5"/>
        <w:bidi w:val="0"/>
        <w:rPr>
          <w:rFonts w:hint="default"/>
          <w:color w:val="auto"/>
        </w:rPr>
      </w:pPr>
      <w:bookmarkStart w:id="18" w:name="_Toc5113"/>
      <w:r>
        <w:rPr>
          <w:rFonts w:hint="default"/>
          <w:color w:val="auto"/>
        </w:rPr>
        <w:t>1.2.3地方性法规</w:t>
      </w:r>
      <w:bookmarkEnd w:id="18"/>
    </w:p>
    <w:p w14:paraId="5791C4E5">
      <w:pPr>
        <w:bidi w:val="0"/>
        <w:rPr>
          <w:rFonts w:hint="default" w:ascii="Times New Roman" w:hAnsi="Times New Roman" w:cs="Times New Roman"/>
          <w:color w:val="auto"/>
        </w:rPr>
      </w:pPr>
      <w:r>
        <w:rPr>
          <w:rFonts w:hint="default" w:ascii="Times New Roman" w:hAnsi="Times New Roman" w:cs="Times New Roman"/>
          <w:color w:val="auto"/>
        </w:rPr>
        <w:t>1.《江西省实施〈中华人民共和国矿山安全法〉办法》（1994年10月24日江西省第八届人民代表大会常务委员会第十一次会议通过，1997年4月18日江西省第八届人民代表大会常务委员会第二十七次会议第一次修正，2010年9月17日江西省第十一届人民代表大会常务委员会第十八次会议第二次修正，自1994年12月1日起施行）</w:t>
      </w:r>
    </w:p>
    <w:p w14:paraId="2EF252FC">
      <w:pPr>
        <w:bidi w:val="0"/>
        <w:rPr>
          <w:rFonts w:hint="default" w:ascii="Times New Roman" w:hAnsi="Times New Roman" w:cs="Times New Roman"/>
          <w:color w:val="auto"/>
        </w:rPr>
      </w:pPr>
      <w:r>
        <w:rPr>
          <w:rFonts w:hint="default" w:ascii="Times New Roman" w:hAnsi="Times New Roman" w:cs="Times New Roman"/>
          <w:color w:val="auto"/>
        </w:rPr>
        <w:t>2.《江西省安全生产条例》（2007年3月29日江西省第十届人民代表大会常务委员会第二十八次会议通过，2017年7月26日江西省第十二届人民代表大会常务委员会第三十四次会议第一次修订，2019年9月28日江西省第十三届人民代表大会常务委员会第十五次会议修正，2023年7月26日江西省第十四届人民代表大会常务委员会第三次会议第二次修订，自2023年9月1日起施行）</w:t>
      </w:r>
    </w:p>
    <w:p w14:paraId="06DA06E3">
      <w:pPr>
        <w:pStyle w:val="5"/>
        <w:bidi w:val="0"/>
        <w:rPr>
          <w:rFonts w:hint="default" w:ascii="Times New Roman" w:hAnsi="Times New Roman" w:cs="Times New Roman"/>
          <w:color w:val="auto"/>
          <w:lang w:val="en-US" w:eastAsia="zh-CN"/>
        </w:rPr>
      </w:pPr>
      <w:bookmarkStart w:id="19" w:name="_Toc20654"/>
      <w:bookmarkStart w:id="20" w:name="_Toc30137"/>
      <w:bookmarkStart w:id="21" w:name="_Toc21342"/>
      <w:r>
        <w:rPr>
          <w:rFonts w:hint="default" w:ascii="Times New Roman" w:hAnsi="Times New Roman" w:cs="Times New Roman"/>
          <w:color w:val="auto"/>
          <w:lang w:val="en-US" w:eastAsia="zh-CN"/>
        </w:rPr>
        <w:t>1.2.</w:t>
      </w:r>
      <w:r>
        <w:rPr>
          <w:rFonts w:hint="eastAsia" w:cs="Times New Roman"/>
          <w:color w:val="auto"/>
          <w:lang w:val="en-US" w:eastAsia="zh-CN"/>
        </w:rPr>
        <w:t>4</w:t>
      </w:r>
      <w:r>
        <w:rPr>
          <w:rFonts w:hint="default" w:ascii="Times New Roman" w:hAnsi="Times New Roman" w:cs="Times New Roman"/>
          <w:color w:val="auto"/>
          <w:lang w:val="en-US" w:eastAsia="zh-CN"/>
        </w:rPr>
        <w:t>部门规章</w:t>
      </w:r>
      <w:bookmarkEnd w:id="19"/>
      <w:bookmarkEnd w:id="20"/>
      <w:bookmarkEnd w:id="21"/>
    </w:p>
    <w:p w14:paraId="5CAE52FB">
      <w:pPr>
        <w:keepNext w:val="0"/>
        <w:keepLines w:val="0"/>
        <w:pageBreakBefore w:val="0"/>
        <w:widowControl w:val="0"/>
        <w:tabs>
          <w:tab w:val="left" w:pos="0"/>
        </w:tabs>
        <w:kinsoku/>
        <w:wordWrap/>
        <w:overflowPunct/>
        <w:topLinePunct w:val="0"/>
        <w:autoSpaceDE/>
        <w:autoSpaceDN/>
        <w:bidi w:val="0"/>
        <w:adjustRightInd/>
        <w:snapToGrid/>
        <w:spacing w:line="600" w:lineRule="exact"/>
        <w:ind w:left="0" w:leftChars="0" w:right="0" w:rightChars="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rPr>
        <w:t>《中华人民共和国矿山安全法实施条例》（劳动部令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1996</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第4号</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自1996年10月30日起施行</w:t>
      </w:r>
      <w:r>
        <w:rPr>
          <w:rFonts w:hint="default" w:ascii="Times New Roman" w:hAnsi="Times New Roman" w:eastAsia="宋体" w:cs="Times New Roman"/>
          <w:color w:val="auto"/>
          <w:sz w:val="28"/>
          <w:szCs w:val="28"/>
        </w:rPr>
        <w:t>）</w:t>
      </w:r>
    </w:p>
    <w:p w14:paraId="7427CA09">
      <w:pPr>
        <w:keepNext w:val="0"/>
        <w:keepLines w:val="0"/>
        <w:pageBreakBefore w:val="0"/>
        <w:widowControl w:val="0"/>
        <w:tabs>
          <w:tab w:val="left" w:pos="0"/>
        </w:tabs>
        <w:kinsoku/>
        <w:wordWrap/>
        <w:overflowPunct/>
        <w:topLinePunct w:val="0"/>
        <w:autoSpaceDE/>
        <w:autoSpaceDN/>
        <w:bidi w:val="0"/>
        <w:adjustRightInd/>
        <w:snapToGrid/>
        <w:spacing w:line="600" w:lineRule="exact"/>
        <w:ind w:left="0" w:leftChars="0" w:right="0" w:rightChars="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《生产经营单位安全培训规定》（</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2006</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第3号</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经</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2013</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第63号、国家安监总局令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2015</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80号修正</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自2006年3月1日起施行）</w:t>
      </w:r>
    </w:p>
    <w:p w14:paraId="5590A69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rPr>
          <w:rFonts w:hint="default" w:ascii="Times New Roman" w:hAnsi="Times New Roman" w:eastAsia="宋体" w:cs="Times New Roman"/>
          <w:b/>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《安全生产事故隐患排查治理暂行规定》（</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2007</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第16号</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自200</w:t>
      </w:r>
      <w:r>
        <w:rPr>
          <w:rFonts w:hint="default" w:ascii="Times New Roman" w:hAnsi="Times New Roman" w:eastAsia="宋体" w:cs="Times New Roman"/>
          <w:color w:val="auto"/>
          <w:sz w:val="28"/>
          <w:szCs w:val="28"/>
          <w:lang w:val="en-US" w:eastAsia="zh-CN"/>
        </w:rPr>
        <w:t>8</w:t>
      </w:r>
      <w:r>
        <w:rPr>
          <w:rFonts w:hint="default" w:ascii="Times New Roman" w:hAnsi="Times New Roman" w:eastAsia="宋体" w:cs="Times New Roman"/>
          <w:color w:val="auto"/>
          <w:sz w:val="28"/>
          <w:szCs w:val="28"/>
          <w:lang w:eastAsia="zh-CN"/>
        </w:rPr>
        <w:t>年</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lang w:eastAsia="zh-CN"/>
        </w:rPr>
        <w:t>月1日起施行</w:t>
      </w:r>
      <w:r>
        <w:rPr>
          <w:rFonts w:hint="default" w:ascii="Times New Roman" w:hAnsi="Times New Roman" w:eastAsia="宋体" w:cs="Times New Roman"/>
          <w:color w:val="auto"/>
          <w:sz w:val="28"/>
          <w:szCs w:val="28"/>
        </w:rPr>
        <w:t>）</w:t>
      </w:r>
    </w:p>
    <w:p w14:paraId="3CD3B23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4.</w:t>
      </w:r>
      <w:r>
        <w:rPr>
          <w:rFonts w:hint="default" w:ascii="Times New Roman" w:hAnsi="Times New Roman" w:eastAsia="宋体" w:cs="Times New Roman"/>
          <w:color w:val="auto"/>
          <w:sz w:val="28"/>
          <w:szCs w:val="28"/>
        </w:rPr>
        <w:t>《特种作业人员安全技术培训考核管理规定》（</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2010</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第30号</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经</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2013</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第63号、</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2015</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80号修正</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自</w:t>
      </w:r>
      <w:r>
        <w:rPr>
          <w:rFonts w:hint="default" w:ascii="Times New Roman" w:hAnsi="Times New Roman" w:eastAsia="宋体" w:cs="Times New Roman"/>
          <w:color w:val="auto"/>
          <w:sz w:val="28"/>
          <w:szCs w:val="28"/>
          <w:lang w:val="en-US" w:eastAsia="zh-CN"/>
        </w:rPr>
        <w:t>2010</w:t>
      </w:r>
      <w:r>
        <w:rPr>
          <w:rFonts w:hint="default" w:ascii="Times New Roman" w:hAnsi="Times New Roman" w:eastAsia="宋体" w:cs="Times New Roman"/>
          <w:color w:val="auto"/>
          <w:sz w:val="28"/>
          <w:szCs w:val="28"/>
          <w:lang w:eastAsia="zh-CN"/>
        </w:rPr>
        <w:t>年</w:t>
      </w:r>
      <w:r>
        <w:rPr>
          <w:rFonts w:hint="default" w:ascii="Times New Roman" w:hAnsi="Times New Roman" w:eastAsia="宋体" w:cs="Times New Roman"/>
          <w:color w:val="auto"/>
          <w:sz w:val="28"/>
          <w:szCs w:val="28"/>
          <w:lang w:val="en-US" w:eastAsia="zh-CN"/>
        </w:rPr>
        <w:t>7</w:t>
      </w:r>
      <w:r>
        <w:rPr>
          <w:rFonts w:hint="default" w:ascii="Times New Roman" w:hAnsi="Times New Roman" w:eastAsia="宋体" w:cs="Times New Roman"/>
          <w:color w:val="auto"/>
          <w:sz w:val="28"/>
          <w:szCs w:val="28"/>
          <w:lang w:eastAsia="zh-CN"/>
        </w:rPr>
        <w:t>月</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eastAsia="zh-CN"/>
        </w:rPr>
        <w:t>日起施行</w:t>
      </w:r>
      <w:r>
        <w:rPr>
          <w:rFonts w:hint="default" w:ascii="Times New Roman" w:hAnsi="Times New Roman" w:eastAsia="宋体" w:cs="Times New Roman"/>
          <w:color w:val="auto"/>
          <w:sz w:val="28"/>
          <w:szCs w:val="28"/>
        </w:rPr>
        <w:t>）</w:t>
      </w:r>
    </w:p>
    <w:p w14:paraId="0668AF81">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5</w:t>
      </w:r>
      <w:r>
        <w:rPr>
          <w:rFonts w:hint="default"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rPr>
        <w:t>《尾矿库安全监督管理规定》（</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eastAsia="宋体" w:cs="Times New Roman"/>
          <w:color w:val="auto"/>
          <w:sz w:val="28"/>
          <w:szCs w:val="28"/>
          <w:lang w:val="en-US" w:eastAsia="zh-CN"/>
        </w:rPr>
        <w:t>1</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第38号</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经</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2015</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第78号修正</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自2011</w:t>
      </w:r>
      <w:r>
        <w:rPr>
          <w:rFonts w:hint="default" w:ascii="Times New Roman" w:hAnsi="Times New Roman" w:eastAsia="宋体" w:cs="Times New Roman"/>
          <w:color w:val="auto"/>
          <w:sz w:val="28"/>
          <w:szCs w:val="28"/>
          <w:lang w:eastAsia="zh-CN"/>
        </w:rPr>
        <w:t>年</w:t>
      </w:r>
      <w:r>
        <w:rPr>
          <w:rFonts w:hint="default" w:ascii="Times New Roman" w:hAnsi="Times New Roman" w:eastAsia="宋体" w:cs="Times New Roman"/>
          <w:color w:val="auto"/>
          <w:sz w:val="28"/>
          <w:szCs w:val="28"/>
          <w:lang w:val="en-US" w:eastAsia="zh-CN"/>
        </w:rPr>
        <w:t>7</w:t>
      </w:r>
      <w:r>
        <w:rPr>
          <w:rFonts w:hint="default" w:ascii="Times New Roman" w:hAnsi="Times New Roman" w:eastAsia="宋体" w:cs="Times New Roman"/>
          <w:color w:val="auto"/>
          <w:sz w:val="28"/>
          <w:szCs w:val="28"/>
          <w:lang w:eastAsia="zh-CN"/>
        </w:rPr>
        <w:t>月</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eastAsia="zh-CN"/>
        </w:rPr>
        <w:t>日起施行</w:t>
      </w:r>
      <w:r>
        <w:rPr>
          <w:rFonts w:hint="default" w:ascii="Times New Roman" w:hAnsi="Times New Roman" w:eastAsia="宋体" w:cs="Times New Roman"/>
          <w:color w:val="auto"/>
          <w:sz w:val="28"/>
          <w:szCs w:val="28"/>
        </w:rPr>
        <w:t>）</w:t>
      </w:r>
    </w:p>
    <w:p w14:paraId="711FEFEE">
      <w:pPr>
        <w:keepNext w:val="0"/>
        <w:keepLines w:val="0"/>
        <w:pageBreakBefore w:val="0"/>
        <w:kinsoku/>
        <w:wordWrap/>
        <w:overflowPunct/>
        <w:topLinePunct w:val="0"/>
        <w:bidi w:val="0"/>
        <w:adjustRightInd/>
        <w:snapToGrid/>
        <w:spacing w:line="600" w:lineRule="exact"/>
        <w:ind w:left="0" w:leftChars="0" w:right="0" w:rightChars="0"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6</w:t>
      </w:r>
      <w:r>
        <w:rPr>
          <w:rFonts w:hint="default"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rPr>
        <w:t>《生产安全事故信息报告和处置办法》（</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eastAsia="宋体" w:cs="Times New Roman"/>
          <w:color w:val="auto"/>
          <w:sz w:val="28"/>
          <w:szCs w:val="28"/>
          <w:lang w:val="en-US" w:eastAsia="zh-CN"/>
        </w:rPr>
        <w:t>09</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第21号</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val="en-US" w:eastAsia="zh-CN"/>
        </w:rPr>
        <w:t>自</w:t>
      </w:r>
      <w:r>
        <w:rPr>
          <w:rFonts w:hint="default" w:ascii="Times New Roman" w:hAnsi="Times New Roman" w:eastAsia="宋体" w:cs="Times New Roman"/>
          <w:color w:val="auto"/>
          <w:kern w:val="0"/>
          <w:sz w:val="28"/>
          <w:szCs w:val="28"/>
        </w:rPr>
        <w:t>20</w:t>
      </w:r>
      <w:r>
        <w:rPr>
          <w:rFonts w:hint="default" w:ascii="Times New Roman" w:hAnsi="Times New Roman" w:eastAsia="宋体" w:cs="Times New Roman"/>
          <w:color w:val="auto"/>
          <w:kern w:val="0"/>
          <w:sz w:val="28"/>
          <w:szCs w:val="28"/>
          <w:lang w:val="en-US" w:eastAsia="zh-CN"/>
        </w:rPr>
        <w:t>09</w:t>
      </w:r>
      <w:r>
        <w:rPr>
          <w:rFonts w:hint="default" w:ascii="Times New Roman" w:hAnsi="Times New Roman" w:eastAsia="宋体" w:cs="Times New Roman"/>
          <w:color w:val="auto"/>
          <w:kern w:val="0"/>
          <w:sz w:val="28"/>
          <w:szCs w:val="28"/>
        </w:rPr>
        <w:t>年</w:t>
      </w:r>
      <w:r>
        <w:rPr>
          <w:rFonts w:hint="default" w:ascii="Times New Roman" w:hAnsi="Times New Roman" w:eastAsia="宋体" w:cs="Times New Roman"/>
          <w:color w:val="auto"/>
          <w:kern w:val="0"/>
          <w:sz w:val="28"/>
          <w:szCs w:val="28"/>
          <w:lang w:val="en-US" w:eastAsia="zh-CN"/>
        </w:rPr>
        <w:t>7</w:t>
      </w:r>
      <w:r>
        <w:rPr>
          <w:rFonts w:hint="default" w:ascii="Times New Roman" w:hAnsi="Times New Roman" w:eastAsia="宋体" w:cs="Times New Roman"/>
          <w:color w:val="auto"/>
          <w:kern w:val="0"/>
          <w:sz w:val="28"/>
          <w:szCs w:val="28"/>
        </w:rPr>
        <w:t>月1日起施行</w:t>
      </w:r>
      <w:r>
        <w:rPr>
          <w:rFonts w:hint="default" w:ascii="Times New Roman" w:hAnsi="Times New Roman" w:eastAsia="宋体" w:cs="Times New Roman"/>
          <w:color w:val="auto"/>
          <w:sz w:val="28"/>
          <w:szCs w:val="28"/>
        </w:rPr>
        <w:t>）</w:t>
      </w:r>
    </w:p>
    <w:p w14:paraId="5D2C3C11">
      <w:pPr>
        <w:keepNext w:val="0"/>
        <w:keepLines w:val="0"/>
        <w:pageBreakBefore w:val="0"/>
        <w:kinsoku/>
        <w:wordWrap/>
        <w:overflowPunct/>
        <w:topLinePunct w:val="0"/>
        <w:bidi w:val="0"/>
        <w:adjustRightInd/>
        <w:snapToGrid/>
        <w:spacing w:line="600" w:lineRule="exact"/>
        <w:ind w:left="0" w:leftChars="0" w:right="0" w:rightChars="0"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7.</w:t>
      </w:r>
      <w:r>
        <w:rPr>
          <w:rFonts w:hint="default" w:ascii="Times New Roman" w:hAnsi="Times New Roman" w:eastAsia="宋体" w:cs="Times New Roman"/>
          <w:color w:val="auto"/>
          <w:sz w:val="28"/>
          <w:szCs w:val="28"/>
        </w:rPr>
        <w:t>《安全生产培训管理办法》（</w:t>
      </w:r>
      <w:r>
        <w:rPr>
          <w:rFonts w:hint="default" w:ascii="Times New Roman" w:hAnsi="Times New Roman" w:eastAsia="宋体" w:cs="Times New Roman"/>
          <w:color w:val="auto"/>
          <w:sz w:val="28"/>
          <w:szCs w:val="28"/>
          <w:lang w:eastAsia="zh-CN"/>
        </w:rPr>
        <w:t>国家安监总局令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2012</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第</w:t>
      </w:r>
      <w:r>
        <w:rPr>
          <w:rFonts w:hint="default" w:ascii="Times New Roman" w:hAnsi="Times New Roman" w:cs="Times New Roman"/>
          <w:color w:val="auto"/>
          <w:sz w:val="28"/>
          <w:szCs w:val="28"/>
          <w:lang w:val="en-US" w:eastAsia="zh-CN"/>
        </w:rPr>
        <w:t>44</w:t>
      </w:r>
      <w:r>
        <w:rPr>
          <w:rFonts w:hint="default" w:ascii="Times New Roman" w:hAnsi="Times New Roman" w:eastAsia="宋体" w:cs="Times New Roman"/>
          <w:color w:val="auto"/>
          <w:sz w:val="28"/>
          <w:szCs w:val="28"/>
          <w:lang w:eastAsia="zh-CN"/>
        </w:rPr>
        <w:t>号</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经国家安监总局令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20</w:t>
      </w:r>
      <w:r>
        <w:rPr>
          <w:rFonts w:hint="default" w:ascii="Times New Roman" w:hAnsi="Times New Roman" w:cs="Times New Roman"/>
          <w:color w:val="auto"/>
          <w:sz w:val="28"/>
          <w:szCs w:val="28"/>
          <w:lang w:val="en-US" w:eastAsia="zh-CN"/>
        </w:rPr>
        <w:t>13</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第</w:t>
      </w:r>
      <w:r>
        <w:rPr>
          <w:rFonts w:hint="default" w:ascii="Times New Roman" w:hAnsi="Times New Roman" w:cs="Times New Roman"/>
          <w:color w:val="auto"/>
          <w:sz w:val="28"/>
          <w:szCs w:val="28"/>
          <w:lang w:val="en-US" w:eastAsia="zh-CN"/>
        </w:rPr>
        <w:t>63</w:t>
      </w:r>
      <w:r>
        <w:rPr>
          <w:rFonts w:hint="default" w:ascii="Times New Roman" w:hAnsi="Times New Roman" w:eastAsia="宋体" w:cs="Times New Roman"/>
          <w:color w:val="auto"/>
          <w:sz w:val="28"/>
          <w:szCs w:val="28"/>
          <w:lang w:eastAsia="zh-CN"/>
        </w:rPr>
        <w:t>号、国家安监总局令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201</w:t>
      </w:r>
      <w:r>
        <w:rPr>
          <w:rFonts w:hint="default" w:ascii="Times New Roman" w:hAnsi="Times New Roman" w:cs="Times New Roman"/>
          <w:color w:val="auto"/>
          <w:sz w:val="28"/>
          <w:szCs w:val="28"/>
          <w:lang w:val="en-US" w:eastAsia="zh-CN"/>
        </w:rPr>
        <w:t>5</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80</w:t>
      </w:r>
      <w:r>
        <w:rPr>
          <w:rFonts w:hint="default" w:ascii="Times New Roman" w:hAnsi="Times New Roman" w:eastAsia="宋体" w:cs="Times New Roman"/>
          <w:color w:val="auto"/>
          <w:sz w:val="28"/>
          <w:szCs w:val="28"/>
          <w:lang w:eastAsia="zh-CN"/>
        </w:rPr>
        <w:t>号修正</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自201</w:t>
      </w:r>
      <w:r>
        <w:rPr>
          <w:rFonts w:hint="default" w:ascii="Times New Roman" w:hAnsi="Times New Roman" w:cs="Times New Roman"/>
          <w:color w:val="auto"/>
          <w:sz w:val="28"/>
          <w:szCs w:val="28"/>
          <w:lang w:val="en-US" w:eastAsia="zh-CN"/>
        </w:rPr>
        <w:t>2</w:t>
      </w:r>
      <w:r>
        <w:rPr>
          <w:rFonts w:hint="default" w:ascii="Times New Roman" w:hAnsi="Times New Roman" w:eastAsia="宋体" w:cs="Times New Roman"/>
          <w:color w:val="auto"/>
          <w:sz w:val="28"/>
          <w:szCs w:val="28"/>
          <w:lang w:eastAsia="zh-CN"/>
        </w:rPr>
        <w:t>年</w:t>
      </w:r>
      <w:r>
        <w:rPr>
          <w:rFonts w:hint="default" w:ascii="Times New Roman" w:hAnsi="Times New Roman" w:cs="Times New Roman"/>
          <w:color w:val="auto"/>
          <w:sz w:val="28"/>
          <w:szCs w:val="28"/>
          <w:lang w:val="en-US" w:eastAsia="zh-CN"/>
        </w:rPr>
        <w:t>3</w:t>
      </w:r>
      <w:r>
        <w:rPr>
          <w:rFonts w:hint="default" w:ascii="Times New Roman" w:hAnsi="Times New Roman" w:eastAsia="宋体" w:cs="Times New Roman"/>
          <w:color w:val="auto"/>
          <w:sz w:val="28"/>
          <w:szCs w:val="28"/>
          <w:lang w:eastAsia="zh-CN"/>
        </w:rPr>
        <w:t>月1日起施行</w:t>
      </w:r>
      <w:r>
        <w:rPr>
          <w:rFonts w:hint="default" w:ascii="Times New Roman" w:hAnsi="Times New Roman" w:eastAsia="宋体" w:cs="Times New Roman"/>
          <w:color w:val="auto"/>
          <w:sz w:val="28"/>
          <w:szCs w:val="28"/>
        </w:rPr>
        <w:t>）</w:t>
      </w:r>
    </w:p>
    <w:p w14:paraId="789016D9">
      <w:pPr>
        <w:keepNext w:val="0"/>
        <w:keepLines w:val="0"/>
        <w:pageBreakBefore w:val="0"/>
        <w:kinsoku/>
        <w:wordWrap/>
        <w:overflowPunct/>
        <w:topLinePunct w:val="0"/>
        <w:bidi w:val="0"/>
        <w:adjustRightInd/>
        <w:snapToGrid/>
        <w:spacing w:line="600" w:lineRule="exact"/>
        <w:ind w:left="0" w:leftChars="0" w:right="0" w:rightChars="0"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8.</w:t>
      </w:r>
      <w:r>
        <w:rPr>
          <w:rFonts w:hint="default" w:ascii="Times New Roman" w:hAnsi="Times New Roman" w:eastAsia="宋体" w:cs="Times New Roman"/>
          <w:color w:val="auto"/>
          <w:sz w:val="28"/>
          <w:szCs w:val="28"/>
        </w:rPr>
        <w:t>《金属非金属矿山建设项目安全设施目录（试行）》（</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5</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第75号</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自2015年7月1日起施行</w:t>
      </w:r>
      <w:r>
        <w:rPr>
          <w:rFonts w:hint="default" w:ascii="Times New Roman" w:hAnsi="Times New Roman" w:eastAsia="宋体" w:cs="Times New Roman"/>
          <w:color w:val="auto"/>
          <w:sz w:val="28"/>
          <w:szCs w:val="28"/>
        </w:rPr>
        <w:t>）</w:t>
      </w:r>
    </w:p>
    <w:p w14:paraId="67B1D54C">
      <w:pPr>
        <w:keepNext w:val="0"/>
        <w:keepLines w:val="0"/>
        <w:pageBreakBefore w:val="0"/>
        <w:kinsoku/>
        <w:wordWrap/>
        <w:overflowPunct/>
        <w:topLinePunct w:val="0"/>
        <w:bidi w:val="0"/>
        <w:adjustRightInd/>
        <w:snapToGrid/>
        <w:spacing w:line="600" w:lineRule="exact"/>
        <w:ind w:left="0" w:leftChars="0" w:right="0" w:rightChars="0"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9.</w:t>
      </w:r>
      <w:r>
        <w:rPr>
          <w:rFonts w:hint="default" w:ascii="Times New Roman" w:hAnsi="Times New Roman" w:eastAsia="宋体" w:cs="Times New Roman"/>
          <w:color w:val="auto"/>
          <w:sz w:val="28"/>
          <w:szCs w:val="28"/>
        </w:rPr>
        <w:t>《生产安全事故应急预案管理办法》（</w:t>
      </w:r>
      <w:r>
        <w:rPr>
          <w:rFonts w:hint="default" w:ascii="Times New Roman" w:hAnsi="Times New Roman" w:eastAsia="宋体" w:cs="Times New Roman"/>
          <w:color w:val="auto"/>
          <w:sz w:val="28"/>
          <w:szCs w:val="28"/>
          <w:lang w:eastAsia="zh-CN"/>
        </w:rPr>
        <w:t>国家安监</w:t>
      </w:r>
      <w:r>
        <w:rPr>
          <w:rFonts w:hint="default" w:ascii="Times New Roman" w:hAnsi="Times New Roman" w:eastAsia="宋体" w:cs="Times New Roman"/>
          <w:color w:val="auto"/>
          <w:sz w:val="28"/>
          <w:szCs w:val="28"/>
        </w:rPr>
        <w:t>总局令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6</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第88号</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经</w:t>
      </w:r>
      <w:r>
        <w:rPr>
          <w:rFonts w:hint="default" w:ascii="Times New Roman" w:hAnsi="Times New Roman" w:eastAsia="宋体" w:cs="Times New Roman"/>
          <w:color w:val="auto"/>
          <w:sz w:val="28"/>
          <w:szCs w:val="28"/>
        </w:rPr>
        <w:t>应急管理部令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9</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第2号修正</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自2019年9月1日起施行</w:t>
      </w:r>
      <w:r>
        <w:rPr>
          <w:rFonts w:hint="default" w:ascii="Times New Roman" w:hAnsi="Times New Roman" w:eastAsia="宋体" w:cs="Times New Roman"/>
          <w:color w:val="auto"/>
          <w:sz w:val="28"/>
          <w:szCs w:val="28"/>
        </w:rPr>
        <w:t>）</w:t>
      </w:r>
    </w:p>
    <w:p w14:paraId="7922E61A">
      <w:pPr>
        <w:pageBreakBefore w:val="0"/>
        <w:kinsoku/>
        <w:wordWrap/>
        <w:overflowPunct/>
        <w:topLinePunct w:val="0"/>
        <w:bidi w:val="0"/>
        <w:snapToGrid/>
        <w:spacing w:line="600" w:lineRule="exact"/>
        <w:ind w:left="0" w:leftChars="0" w:right="0" w:rightChars="0" w:firstLine="552" w:firstLineChars="200"/>
        <w:textAlignment w:val="auto"/>
        <w:rPr>
          <w:rFonts w:hint="default" w:ascii="Times New Roman" w:hAnsi="Times New Roman" w:eastAsia="宋体" w:cs="Times New Roman"/>
          <w:color w:val="auto"/>
          <w:spacing w:val="-2"/>
          <w:sz w:val="28"/>
          <w:szCs w:val="28"/>
        </w:rPr>
      </w:pPr>
      <w:r>
        <w:rPr>
          <w:rFonts w:hint="default" w:ascii="Times New Roman" w:hAnsi="Times New Roman" w:cs="Times New Roman"/>
          <w:color w:val="auto"/>
          <w:spacing w:val="-2"/>
          <w:sz w:val="28"/>
          <w:szCs w:val="28"/>
          <w:lang w:val="en-US" w:eastAsia="zh-CN"/>
        </w:rPr>
        <w:t>10.</w:t>
      </w:r>
      <w:r>
        <w:rPr>
          <w:rFonts w:hint="default" w:ascii="Times New Roman" w:hAnsi="Times New Roman" w:eastAsia="宋体" w:cs="Times New Roman"/>
          <w:color w:val="auto"/>
          <w:spacing w:val="-2"/>
          <w:sz w:val="28"/>
          <w:szCs w:val="28"/>
        </w:rPr>
        <w:t>《尾矿污染环境防治管理办法》（生态环境部</w:t>
      </w:r>
      <w:r>
        <w:rPr>
          <w:rFonts w:hint="default" w:ascii="Times New Roman" w:hAnsi="Times New Roman" w:cs="Times New Roman"/>
          <w:color w:val="auto"/>
          <w:spacing w:val="-2"/>
          <w:sz w:val="28"/>
          <w:szCs w:val="28"/>
          <w:lang w:val="en-US" w:eastAsia="zh-CN"/>
        </w:rPr>
        <w:t>令</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22</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pacing w:val="-2"/>
          <w:sz w:val="28"/>
          <w:szCs w:val="28"/>
        </w:rPr>
        <w:t>第26号</w:t>
      </w:r>
      <w:r>
        <w:rPr>
          <w:rFonts w:hint="eastAsia" w:ascii="Times New Roman" w:hAnsi="Times New Roman" w:cs="Times New Roman"/>
          <w:color w:val="auto"/>
          <w:spacing w:val="-2"/>
          <w:sz w:val="28"/>
          <w:szCs w:val="28"/>
          <w:lang w:eastAsia="zh-CN"/>
        </w:rPr>
        <w:t>，</w:t>
      </w:r>
      <w:r>
        <w:rPr>
          <w:rFonts w:hint="default" w:ascii="Times New Roman" w:hAnsi="Times New Roman" w:cs="Times New Roman"/>
          <w:color w:val="auto"/>
          <w:spacing w:val="-2"/>
          <w:sz w:val="28"/>
          <w:szCs w:val="28"/>
          <w:lang w:val="en-US" w:eastAsia="zh-CN"/>
        </w:rPr>
        <w:t>自2022年7月1日起施行</w:t>
      </w:r>
      <w:r>
        <w:rPr>
          <w:rFonts w:hint="default" w:ascii="Times New Roman" w:hAnsi="Times New Roman" w:eastAsia="宋体" w:cs="Times New Roman"/>
          <w:color w:val="auto"/>
          <w:spacing w:val="-2"/>
          <w:sz w:val="28"/>
          <w:szCs w:val="28"/>
        </w:rPr>
        <w:t>）</w:t>
      </w:r>
    </w:p>
    <w:p w14:paraId="421515EF">
      <w:pPr>
        <w:pageBreakBefore w:val="0"/>
        <w:kinsoku/>
        <w:wordWrap/>
        <w:overflowPunct/>
        <w:topLinePunct w:val="0"/>
        <w:bidi w:val="0"/>
        <w:snapToGrid/>
        <w:spacing w:line="600" w:lineRule="exact"/>
        <w:ind w:left="0" w:leftChars="0" w:right="0" w:rightChars="0" w:firstLine="552" w:firstLineChars="200"/>
        <w:textAlignment w:val="auto"/>
        <w:rPr>
          <w:rFonts w:hint="default" w:ascii="Times New Roman" w:hAnsi="Times New Roman" w:eastAsia="宋体" w:cs="Times New Roman"/>
          <w:color w:val="auto"/>
          <w:spacing w:val="-2"/>
          <w:sz w:val="28"/>
          <w:szCs w:val="28"/>
        </w:rPr>
      </w:pPr>
      <w:r>
        <w:rPr>
          <w:rFonts w:hint="default" w:ascii="Times New Roman" w:hAnsi="Times New Roman" w:cs="Times New Roman"/>
          <w:color w:val="auto"/>
          <w:spacing w:val="-2"/>
          <w:sz w:val="28"/>
          <w:szCs w:val="28"/>
          <w:lang w:val="en-US" w:eastAsia="zh-CN"/>
        </w:rPr>
        <w:t>11.</w:t>
      </w:r>
      <w:r>
        <w:rPr>
          <w:rFonts w:hint="default" w:ascii="Times New Roman" w:hAnsi="Times New Roman" w:eastAsia="宋体" w:cs="Times New Roman"/>
          <w:color w:val="auto"/>
          <w:spacing w:val="-2"/>
          <w:sz w:val="28"/>
          <w:szCs w:val="28"/>
        </w:rPr>
        <w:t>《江西省生产安全事故隐患排查治理办法》（江西省人民政府令第238号</w:t>
      </w:r>
      <w:r>
        <w:rPr>
          <w:rFonts w:hint="eastAsia" w:ascii="Times New Roman" w:hAnsi="Times New Roman" w:cs="Times New Roman"/>
          <w:color w:val="auto"/>
          <w:spacing w:val="-2"/>
          <w:sz w:val="28"/>
          <w:szCs w:val="28"/>
          <w:lang w:eastAsia="zh-CN"/>
        </w:rPr>
        <w:t>，</w:t>
      </w:r>
      <w:r>
        <w:rPr>
          <w:rFonts w:hint="default" w:ascii="Times New Roman" w:hAnsi="Times New Roman" w:eastAsia="宋体" w:cs="Times New Roman"/>
          <w:color w:val="auto"/>
          <w:spacing w:val="-2"/>
          <w:sz w:val="28"/>
          <w:szCs w:val="28"/>
        </w:rPr>
        <w:t>2021年6月9日省人民政府令第250号第一次修正）</w:t>
      </w:r>
    </w:p>
    <w:p w14:paraId="7D5CBB5E">
      <w:pPr>
        <w:pStyle w:val="5"/>
        <w:bidi w:val="0"/>
        <w:rPr>
          <w:rFonts w:hint="default" w:ascii="Times New Roman" w:hAnsi="Times New Roman" w:cs="Times New Roman"/>
          <w:color w:val="auto"/>
          <w:lang w:val="en-US" w:eastAsia="zh-CN"/>
        </w:rPr>
      </w:pPr>
      <w:bookmarkStart w:id="22" w:name="_Toc28353"/>
      <w:bookmarkStart w:id="23" w:name="_Toc8487"/>
      <w:r>
        <w:rPr>
          <w:rFonts w:hint="default" w:ascii="Times New Roman" w:hAnsi="Times New Roman" w:cs="Times New Roman"/>
          <w:color w:val="auto"/>
          <w:lang w:val="en-US" w:eastAsia="zh-CN"/>
        </w:rPr>
        <w:t>1.2.5规范性文件</w:t>
      </w:r>
      <w:bookmarkEnd w:id="22"/>
      <w:bookmarkEnd w:id="23"/>
    </w:p>
    <w:p w14:paraId="075D83E0">
      <w:pPr>
        <w:keepNext w:val="0"/>
        <w:keepLines w:val="0"/>
        <w:pageBreakBefore w:val="0"/>
        <w:tabs>
          <w:tab w:val="left" w:pos="0"/>
        </w:tabs>
        <w:kinsoku/>
        <w:wordWrap/>
        <w:overflowPunct/>
        <w:topLinePunct w:val="0"/>
        <w:bidi w:val="0"/>
        <w:adjustRightInd/>
        <w:snapToGrid/>
        <w:spacing w:line="600" w:lineRule="exact"/>
        <w:ind w:left="0" w:leftChars="0" w:right="0" w:rightChars="0"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1.</w:t>
      </w:r>
      <w:r>
        <w:rPr>
          <w:rFonts w:hint="default" w:ascii="Times New Roman" w:hAnsi="Times New Roman" w:eastAsia="宋体" w:cs="Times New Roman"/>
          <w:color w:val="auto"/>
          <w:sz w:val="28"/>
          <w:szCs w:val="28"/>
        </w:rPr>
        <w:t>《国务院关于进一步加强安全生产工作的决定》（国发</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04</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2号）</w:t>
      </w:r>
    </w:p>
    <w:p w14:paraId="6E6A6380">
      <w:pPr>
        <w:keepNext w:val="0"/>
        <w:keepLines w:val="0"/>
        <w:pageBreakBefore w:val="0"/>
        <w:tabs>
          <w:tab w:val="left" w:pos="0"/>
        </w:tabs>
        <w:kinsoku/>
        <w:wordWrap/>
        <w:overflowPunct/>
        <w:topLinePunct w:val="0"/>
        <w:bidi w:val="0"/>
        <w:adjustRightInd/>
        <w:snapToGrid/>
        <w:spacing w:line="600" w:lineRule="exact"/>
        <w:ind w:left="0" w:leftChars="0" w:right="0" w:rightChars="0"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2.</w:t>
      </w:r>
      <w:r>
        <w:rPr>
          <w:rFonts w:hint="default" w:ascii="Times New Roman" w:hAnsi="Times New Roman" w:eastAsia="宋体" w:cs="Times New Roman"/>
          <w:color w:val="auto"/>
          <w:sz w:val="28"/>
          <w:szCs w:val="28"/>
        </w:rPr>
        <w:t>《国务院关于进一步加强企业安全生产工作的通知》（国发</w:t>
      </w:r>
      <w:r>
        <w:rPr>
          <w:rFonts w:hint="default" w:ascii="Times New Roman" w:hAnsi="Times New Roman" w:cs="Times New Roman"/>
          <w:color w:val="auto"/>
          <w:lang w:eastAsia="zh-CN"/>
        </w:rPr>
        <w:t>〔</w:t>
      </w:r>
      <w:r>
        <w:rPr>
          <w:rFonts w:hint="default" w:ascii="Times New Roman" w:hAnsi="Times New Roman" w:cs="Times New Roman"/>
          <w:color w:val="auto"/>
        </w:rPr>
        <w:t>20</w:t>
      </w:r>
      <w:r>
        <w:rPr>
          <w:rFonts w:hint="default" w:ascii="Times New Roman" w:hAnsi="Times New Roman" w:cs="Times New Roman"/>
          <w:color w:val="auto"/>
          <w:lang w:val="en-US" w:eastAsia="zh-CN"/>
        </w:rPr>
        <w:t>10</w:t>
      </w:r>
      <w:r>
        <w:rPr>
          <w:rFonts w:hint="default" w:ascii="Times New Roman" w:hAnsi="Times New Roman" w:cs="Times New Roman"/>
          <w:color w:val="auto"/>
          <w:lang w:eastAsia="zh-CN"/>
        </w:rPr>
        <w:t>〕</w:t>
      </w:r>
      <w:r>
        <w:rPr>
          <w:rFonts w:hint="default" w:ascii="Times New Roman" w:hAnsi="Times New Roman" w:eastAsia="宋体" w:cs="Times New Roman"/>
          <w:color w:val="auto"/>
          <w:sz w:val="28"/>
          <w:szCs w:val="28"/>
        </w:rPr>
        <w:t>23号）</w:t>
      </w:r>
    </w:p>
    <w:p w14:paraId="34C2D5C4">
      <w:pPr>
        <w:keepNext w:val="0"/>
        <w:keepLines w:val="0"/>
        <w:pageBreakBefore w:val="0"/>
        <w:tabs>
          <w:tab w:val="left" w:pos="0"/>
        </w:tabs>
        <w:kinsoku/>
        <w:wordWrap/>
        <w:overflowPunct/>
        <w:topLinePunct w:val="0"/>
        <w:bidi w:val="0"/>
        <w:adjustRightInd/>
        <w:snapToGrid/>
        <w:spacing w:line="600" w:lineRule="exact"/>
        <w:ind w:left="0" w:leftChars="0" w:right="0" w:rightChars="0"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3.</w:t>
      </w:r>
      <w:r>
        <w:rPr>
          <w:rFonts w:hint="default" w:ascii="Times New Roman" w:hAnsi="Times New Roman" w:eastAsia="宋体" w:cs="Times New Roman"/>
          <w:color w:val="auto"/>
          <w:sz w:val="28"/>
          <w:szCs w:val="28"/>
        </w:rPr>
        <w:t>《国务院关于加强地质灾害防治工作的决定》（国发</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2010</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20号）</w:t>
      </w:r>
    </w:p>
    <w:p w14:paraId="01E7221F">
      <w:pPr>
        <w:keepNext w:val="0"/>
        <w:keepLines w:val="0"/>
        <w:pageBreakBefore w:val="0"/>
        <w:tabs>
          <w:tab w:val="left" w:pos="0"/>
        </w:tabs>
        <w:kinsoku/>
        <w:wordWrap/>
        <w:overflowPunct/>
        <w:topLinePunct w:val="0"/>
        <w:bidi w:val="0"/>
        <w:adjustRightInd/>
        <w:snapToGrid/>
        <w:spacing w:line="600" w:lineRule="exact"/>
        <w:ind w:left="0" w:leftChars="0" w:right="0" w:rightChars="0"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4.</w:t>
      </w:r>
      <w:r>
        <w:rPr>
          <w:rFonts w:hint="default" w:ascii="Times New Roman" w:hAnsi="Times New Roman" w:eastAsia="宋体" w:cs="Times New Roman"/>
          <w:color w:val="auto"/>
          <w:sz w:val="28"/>
          <w:szCs w:val="28"/>
        </w:rPr>
        <w:t>《国务院关于坚持科学发展安全发展促进安全生产形势持续稳定好转的意见》（国发</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1</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40号）</w:t>
      </w:r>
    </w:p>
    <w:p w14:paraId="2451B43E">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5.</w:t>
      </w:r>
      <w:r>
        <w:rPr>
          <w:rFonts w:hint="default" w:ascii="Times New Roman" w:hAnsi="Times New Roman" w:eastAsia="宋体" w:cs="Times New Roman"/>
          <w:color w:val="auto"/>
          <w:sz w:val="28"/>
          <w:szCs w:val="28"/>
        </w:rPr>
        <w:t>《中共中央办公厅国务院办公厅关于进一步加强矿山安全生产工作的意见》（厅字</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23</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21号）</w:t>
      </w:r>
    </w:p>
    <w:p w14:paraId="6BC54AFD">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6.</w:t>
      </w:r>
      <w:r>
        <w:rPr>
          <w:rFonts w:hint="default" w:ascii="Times New Roman" w:hAnsi="Times New Roman" w:eastAsia="宋体" w:cs="Times New Roman"/>
          <w:color w:val="auto"/>
          <w:sz w:val="28"/>
          <w:szCs w:val="28"/>
        </w:rPr>
        <w:t>《国家矿山安全监察局关于全面深入开展非煤地下矿山和尾矿库安全生产大排查的通知》（矿安</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21</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10号）</w:t>
      </w:r>
    </w:p>
    <w:p w14:paraId="03F73BDD">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7.</w:t>
      </w:r>
      <w:r>
        <w:rPr>
          <w:rFonts w:hint="default" w:ascii="Times New Roman" w:hAnsi="Times New Roman" w:eastAsia="宋体" w:cs="Times New Roman"/>
          <w:color w:val="auto"/>
          <w:sz w:val="28"/>
          <w:szCs w:val="28"/>
        </w:rPr>
        <w:t>《国家矿山安全监察局关于印发〈关于加强非煤矿山安全生产工作的指导意见〉的通知》（矿安</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22</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4号）</w:t>
      </w:r>
    </w:p>
    <w:p w14:paraId="6FB41228">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8.</w:t>
      </w:r>
      <w:r>
        <w:rPr>
          <w:rFonts w:hint="default" w:ascii="Times New Roman" w:hAnsi="Times New Roman" w:eastAsia="宋体" w:cs="Times New Roman"/>
          <w:color w:val="auto"/>
          <w:sz w:val="28"/>
          <w:szCs w:val="28"/>
        </w:rPr>
        <w:t>《国家矿山安全监察局关于进一步加强非煤矿山安全生产行政许可工作的通知》（矿安</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24</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70号）</w:t>
      </w:r>
    </w:p>
    <w:p w14:paraId="1E679CDC">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9.</w:t>
      </w:r>
      <w:r>
        <w:rPr>
          <w:rFonts w:hint="default" w:ascii="Times New Roman" w:hAnsi="Times New Roman" w:eastAsia="宋体" w:cs="Times New Roman"/>
          <w:color w:val="auto"/>
          <w:sz w:val="28"/>
          <w:szCs w:val="28"/>
        </w:rPr>
        <w:t>《国家矿山安全监察局关于印发〈金属非金属矿山重大事故隐患判定标准〉的通知》（矿安</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22</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88号）</w:t>
      </w:r>
    </w:p>
    <w:p w14:paraId="36D7596E">
      <w:pPr>
        <w:bidi w:val="0"/>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val="en-US" w:eastAsia="zh-CN"/>
        </w:rPr>
        <w:t>10.《</w:t>
      </w:r>
      <w:r>
        <w:rPr>
          <w:rFonts w:hint="default" w:ascii="Times New Roman" w:hAnsi="Times New Roman" w:eastAsia="宋体" w:cs="Times New Roman"/>
          <w:color w:val="auto"/>
          <w:sz w:val="28"/>
          <w:szCs w:val="28"/>
        </w:rPr>
        <w:t>国家矿山安全监察局关于印发</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金属非金属矿山重大事故隐患判定标准补充情形</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的通知</w:t>
      </w:r>
      <w:r>
        <w:rPr>
          <w:rFonts w:hint="default" w:ascii="Times New Roman" w:hAnsi="Times New Roman" w:cs="Times New Roman"/>
          <w:color w:val="auto"/>
          <w:sz w:val="28"/>
          <w:szCs w:val="28"/>
          <w:lang w:val="en-US" w:eastAsia="zh-CN"/>
        </w:rPr>
        <w:t>》</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矿安〔2024〕41号</w:t>
      </w:r>
      <w:r>
        <w:rPr>
          <w:rFonts w:hint="default" w:ascii="Times New Roman" w:hAnsi="Times New Roman" w:cs="Times New Roman"/>
          <w:color w:val="auto"/>
          <w:sz w:val="28"/>
          <w:szCs w:val="28"/>
          <w:lang w:eastAsia="zh-CN"/>
        </w:rPr>
        <w:t>）</w:t>
      </w:r>
    </w:p>
    <w:p w14:paraId="4FE91FAA">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11.</w:t>
      </w:r>
      <w:r>
        <w:rPr>
          <w:rFonts w:hint="default" w:ascii="Times New Roman" w:hAnsi="Times New Roman" w:eastAsia="宋体" w:cs="Times New Roman"/>
          <w:color w:val="auto"/>
          <w:sz w:val="28"/>
          <w:szCs w:val="28"/>
        </w:rPr>
        <w:t>《关于印发防范化解尾矿库安全风险工作方案的通知》（应急</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20</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15号）</w:t>
      </w:r>
    </w:p>
    <w:p w14:paraId="0D5A1836">
      <w:pPr>
        <w:rPr>
          <w:rFonts w:hint="default" w:ascii="Times New Roman" w:hAnsi="Times New Roman" w:cs="Times New Roman"/>
          <w:color w:val="auto"/>
          <w:lang w:val="en-US" w:eastAsia="zh-CN"/>
        </w:rPr>
      </w:pPr>
      <w:r>
        <w:rPr>
          <w:rFonts w:hint="default" w:ascii="Times New Roman" w:hAnsi="Times New Roman" w:cs="Times New Roman"/>
          <w:color w:val="auto"/>
          <w:sz w:val="28"/>
          <w:szCs w:val="28"/>
          <w:lang w:val="en-US" w:eastAsia="zh-CN"/>
        </w:rPr>
        <w:t>12.</w:t>
      </w:r>
      <w:r>
        <w:rPr>
          <w:rFonts w:hint="default" w:ascii="Times New Roman" w:hAnsi="Times New Roman" w:eastAsia="宋体" w:cs="Times New Roman"/>
          <w:color w:val="auto"/>
          <w:sz w:val="28"/>
          <w:szCs w:val="28"/>
        </w:rPr>
        <w:t>《关于印发〈企业安全生产费用提取</w:t>
      </w:r>
      <w:r>
        <w:rPr>
          <w:rFonts w:hint="default" w:ascii="Times New Roman" w:hAnsi="Times New Roman" w:cs="Times New Roman"/>
          <w:color w:val="auto"/>
        </w:rPr>
        <w:t>和使用管理办法〉的通知》（财资</w:t>
      </w:r>
      <w:r>
        <w:rPr>
          <w:rFonts w:hint="default" w:ascii="Times New Roman" w:hAnsi="Times New Roman" w:cs="Times New Roman"/>
          <w:color w:val="auto"/>
          <w:lang w:eastAsia="zh-CN"/>
        </w:rPr>
        <w:t>〔</w:t>
      </w:r>
      <w:r>
        <w:rPr>
          <w:rFonts w:hint="default" w:ascii="Times New Roman" w:hAnsi="Times New Roman" w:cs="Times New Roman"/>
          <w:color w:val="auto"/>
        </w:rPr>
        <w:t>20</w:t>
      </w:r>
      <w:r>
        <w:rPr>
          <w:rFonts w:hint="default" w:ascii="Times New Roman" w:hAnsi="Times New Roman" w:cs="Times New Roman"/>
          <w:color w:val="auto"/>
          <w:lang w:val="en-US" w:eastAsia="zh-CN"/>
        </w:rPr>
        <w:t>22</w:t>
      </w:r>
      <w:r>
        <w:rPr>
          <w:rFonts w:hint="default" w:ascii="Times New Roman" w:hAnsi="Times New Roman" w:cs="Times New Roman"/>
          <w:color w:val="auto"/>
          <w:lang w:eastAsia="zh-CN"/>
        </w:rPr>
        <w:t>〕</w:t>
      </w:r>
      <w:r>
        <w:rPr>
          <w:rFonts w:hint="default" w:ascii="Times New Roman" w:hAnsi="Times New Roman" w:cs="Times New Roman"/>
          <w:color w:val="auto"/>
        </w:rPr>
        <w:t>136号</w:t>
      </w:r>
      <w:r>
        <w:rPr>
          <w:rFonts w:hint="default" w:ascii="Times New Roman" w:hAnsi="Times New Roman" w:cs="Times New Roman"/>
          <w:color w:val="auto"/>
          <w:lang w:val="en-US" w:eastAsia="zh-CN"/>
        </w:rPr>
        <w:t>）</w:t>
      </w:r>
    </w:p>
    <w:p w14:paraId="338C59A3">
      <w:pPr>
        <w:bidi w:val="0"/>
        <w:rPr>
          <w:rFonts w:hint="default" w:ascii="Times New Roman" w:hAnsi="Times New Roman" w:cs="Times New Roman"/>
          <w:color w:val="auto"/>
        </w:rPr>
      </w:pPr>
      <w:r>
        <w:rPr>
          <w:rFonts w:hint="default" w:ascii="Times New Roman" w:hAnsi="Times New Roman" w:cs="Times New Roman"/>
          <w:color w:val="auto"/>
          <w:lang w:val="en-US" w:eastAsia="zh-CN"/>
        </w:rPr>
        <w:t>13.</w:t>
      </w:r>
      <w:r>
        <w:rPr>
          <w:rFonts w:hint="default" w:ascii="Times New Roman" w:hAnsi="Times New Roman" w:cs="Times New Roman"/>
          <w:color w:val="auto"/>
        </w:rPr>
        <w:t>《江西省人民政府关于进一步加强企业安全生产工作的实施意见》（赣府发</w:t>
      </w:r>
      <w:r>
        <w:rPr>
          <w:rFonts w:hint="default" w:ascii="Times New Roman" w:hAnsi="Times New Roman" w:cs="Times New Roman"/>
          <w:color w:val="auto"/>
          <w:lang w:eastAsia="zh-CN"/>
        </w:rPr>
        <w:t>〔</w:t>
      </w:r>
      <w:r>
        <w:rPr>
          <w:rFonts w:hint="default" w:ascii="Times New Roman" w:hAnsi="Times New Roman" w:cs="Times New Roman"/>
          <w:color w:val="auto"/>
        </w:rPr>
        <w:t>2010</w:t>
      </w:r>
      <w:r>
        <w:rPr>
          <w:rFonts w:hint="default" w:ascii="Times New Roman" w:hAnsi="Times New Roman" w:cs="Times New Roman"/>
          <w:color w:val="auto"/>
          <w:lang w:eastAsia="zh-CN"/>
        </w:rPr>
        <w:t>〕</w:t>
      </w:r>
      <w:r>
        <w:rPr>
          <w:rFonts w:hint="default" w:ascii="Times New Roman" w:hAnsi="Times New Roman" w:cs="Times New Roman"/>
          <w:color w:val="auto"/>
        </w:rPr>
        <w:t>32号）</w:t>
      </w:r>
    </w:p>
    <w:p w14:paraId="19D94B61">
      <w:pPr>
        <w:bidi w:val="0"/>
        <w:rPr>
          <w:rFonts w:hint="default" w:ascii="Times New Roman" w:hAnsi="Times New Roman" w:cs="Times New Roman"/>
          <w:color w:val="auto"/>
        </w:rPr>
      </w:pPr>
      <w:r>
        <w:rPr>
          <w:rFonts w:hint="default" w:ascii="Times New Roman" w:hAnsi="Times New Roman" w:cs="Times New Roman"/>
          <w:color w:val="auto"/>
          <w:lang w:val="en-US" w:eastAsia="zh-CN"/>
        </w:rPr>
        <w:t>14.</w:t>
      </w:r>
      <w:r>
        <w:rPr>
          <w:rFonts w:hint="default" w:ascii="Times New Roman" w:hAnsi="Times New Roman" w:cs="Times New Roman"/>
          <w:color w:val="auto"/>
        </w:rPr>
        <w:t>《国务院安委会办公室关于贯彻落实〈国务院关于进一步加强企业安全生产工作的通知〉精神进一步加强非煤矿山安全生产工作的实施意见》（安委办</w:t>
      </w:r>
      <w:r>
        <w:rPr>
          <w:rFonts w:hint="default" w:ascii="Times New Roman" w:hAnsi="Times New Roman" w:cs="Times New Roman"/>
          <w:color w:val="auto"/>
          <w:lang w:eastAsia="zh-CN"/>
        </w:rPr>
        <w:t>〔</w:t>
      </w:r>
      <w:r>
        <w:rPr>
          <w:rFonts w:hint="default" w:ascii="Times New Roman" w:hAnsi="Times New Roman" w:cs="Times New Roman"/>
          <w:color w:val="auto"/>
        </w:rPr>
        <w:t>2010</w:t>
      </w:r>
      <w:r>
        <w:rPr>
          <w:rFonts w:hint="default" w:ascii="Times New Roman" w:hAnsi="Times New Roman" w:cs="Times New Roman"/>
          <w:color w:val="auto"/>
          <w:lang w:eastAsia="zh-CN"/>
        </w:rPr>
        <w:t>〕</w:t>
      </w:r>
      <w:r>
        <w:rPr>
          <w:rFonts w:hint="default" w:ascii="Times New Roman" w:hAnsi="Times New Roman" w:cs="Times New Roman"/>
          <w:color w:val="auto"/>
        </w:rPr>
        <w:t>17号）</w:t>
      </w:r>
    </w:p>
    <w:p w14:paraId="151F8D47">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15.</w:t>
      </w:r>
      <w:r>
        <w:rPr>
          <w:rFonts w:hint="default" w:ascii="Times New Roman" w:hAnsi="Times New Roman" w:eastAsia="宋体" w:cs="Times New Roman"/>
          <w:color w:val="auto"/>
          <w:sz w:val="28"/>
          <w:szCs w:val="28"/>
        </w:rPr>
        <w:t>《国务院安委办关于建立安全隐患排查治理体系的通知》（安委办</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2012</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1号）</w:t>
      </w:r>
    </w:p>
    <w:p w14:paraId="07859992">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16.</w:t>
      </w:r>
      <w:r>
        <w:rPr>
          <w:rFonts w:hint="default" w:ascii="Times New Roman" w:hAnsi="Times New Roman" w:eastAsia="宋体" w:cs="Times New Roman"/>
          <w:color w:val="auto"/>
          <w:sz w:val="28"/>
          <w:szCs w:val="28"/>
        </w:rPr>
        <w:t>《国务院安委会办公室关于学习宣传贯彻〈中共中央办公厅国务院办公厅关于进一步加强矿山安全生产工作的意见〉的通知》（安委办</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23</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7号）</w:t>
      </w:r>
    </w:p>
    <w:p w14:paraId="76968ABE">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17.</w:t>
      </w:r>
      <w:r>
        <w:rPr>
          <w:rFonts w:hint="default" w:ascii="Times New Roman" w:hAnsi="Times New Roman" w:eastAsia="宋体" w:cs="Times New Roman"/>
          <w:color w:val="auto"/>
          <w:sz w:val="28"/>
          <w:szCs w:val="28"/>
        </w:rPr>
        <w:t>《转发国务院安委会办公室贯彻落实国务院〈通知〉精神进一步加强非煤矿山安全生产工作实施意见的通知》（赣安办字</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2010</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73号）</w:t>
      </w:r>
    </w:p>
    <w:p w14:paraId="1299E3AF">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18.</w:t>
      </w:r>
      <w:r>
        <w:rPr>
          <w:rFonts w:hint="default" w:ascii="Times New Roman" w:hAnsi="Times New Roman" w:eastAsia="宋体" w:cs="Times New Roman"/>
          <w:color w:val="auto"/>
          <w:sz w:val="28"/>
          <w:szCs w:val="28"/>
        </w:rPr>
        <w:t>《关于进一步加强尾矿库监督管理工作的指导意见》（赣安监管一字</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2</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239号）</w:t>
      </w:r>
    </w:p>
    <w:p w14:paraId="57288D1B">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19.</w:t>
      </w:r>
      <w:r>
        <w:rPr>
          <w:rFonts w:hint="default" w:ascii="Times New Roman" w:hAnsi="Times New Roman" w:eastAsia="宋体" w:cs="Times New Roman"/>
          <w:color w:val="auto"/>
          <w:sz w:val="28"/>
          <w:szCs w:val="28"/>
        </w:rPr>
        <w:t>《江西省安委会关于加强生产经营单位事故隐患排查治理工作的指导意见》（赣安</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32号）</w:t>
      </w:r>
    </w:p>
    <w:p w14:paraId="172186CA">
      <w:pPr>
        <w:pStyle w:val="2"/>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20.</w:t>
      </w:r>
      <w:r>
        <w:rPr>
          <w:rFonts w:hint="default" w:ascii="Times New Roman" w:hAnsi="Times New Roman" w:eastAsia="宋体" w:cs="Times New Roman"/>
          <w:color w:val="auto"/>
          <w:sz w:val="28"/>
          <w:szCs w:val="28"/>
        </w:rPr>
        <w:t>《国家安全监管总局关于宣布失效一批安全生产文件的通知》（安监总办</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6</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13号）</w:t>
      </w:r>
    </w:p>
    <w:p w14:paraId="5BE944A5">
      <w:pPr>
        <w:pStyle w:val="2"/>
        <w:rPr>
          <w:rFonts w:hint="default" w:ascii="Times New Roman" w:hAnsi="Times New Roman" w:eastAsia="宋体" w:cs="Times New Roman"/>
          <w:color w:val="auto"/>
          <w:kern w:val="2"/>
          <w:sz w:val="28"/>
          <w:szCs w:val="28"/>
          <w:lang w:val="en-US" w:eastAsia="zh-CN" w:bidi="ar-SA"/>
        </w:rPr>
      </w:pPr>
      <w:r>
        <w:rPr>
          <w:rFonts w:hint="eastAsia" w:ascii="Times New Roman" w:hAnsi="Times New Roman" w:cs="Times New Roman"/>
          <w:color w:val="auto"/>
          <w:lang w:val="en-US" w:eastAsia="zh-CN"/>
        </w:rPr>
        <w:t>21.</w:t>
      </w:r>
      <w:r>
        <w:rPr>
          <w:rFonts w:hint="default" w:ascii="Times New Roman" w:hAnsi="Times New Roman" w:cs="Times New Roman"/>
          <w:color w:val="auto"/>
        </w:rPr>
        <w:t>《</w:t>
      </w:r>
      <w:r>
        <w:rPr>
          <w:rFonts w:hint="default" w:ascii="Times New Roman" w:hAnsi="Times New Roman" w:cs="Times New Roman"/>
          <w:color w:val="auto"/>
          <w:lang w:val="en-US" w:eastAsia="zh-CN"/>
        </w:rPr>
        <w:t>关于做好非煤矿矿山企业安全生产许可证延期换证工作的通知》（赣安监管一字〔20</w:t>
      </w:r>
      <w:r>
        <w:rPr>
          <w:rFonts w:hint="eastAsia" w:ascii="Times New Roman" w:hAnsi="Times New Roman" w:cs="Times New Roman"/>
          <w:color w:val="auto"/>
          <w:lang w:val="en-US" w:eastAsia="zh-CN"/>
        </w:rPr>
        <w:t>08</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83</w:t>
      </w:r>
      <w:r>
        <w:rPr>
          <w:rFonts w:hint="default" w:ascii="Times New Roman" w:hAnsi="Times New Roman" w:cs="Times New Roman"/>
          <w:color w:val="auto"/>
          <w:lang w:val="en-US" w:eastAsia="zh-CN"/>
        </w:rPr>
        <w:t>号）</w:t>
      </w:r>
    </w:p>
    <w:p w14:paraId="3BAA161A">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val="en-US" w:eastAsia="zh-CN"/>
        </w:rPr>
        <w:t>2</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《关于印发〈遏制尾矿库“头顶库”重特大事故工作方案〉的通知》（安监总管一</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6</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54号）</w:t>
      </w:r>
    </w:p>
    <w:p w14:paraId="4F423415">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val="en-US" w:eastAsia="zh-CN"/>
        </w:rPr>
        <w:t>3</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《江西省安监局转发国家安全监管总局关于印发〈遏制尾矿库“头顶库”重特大事故工作方案〉的通知》（赣安监管一字</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6</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56号）</w:t>
      </w:r>
    </w:p>
    <w:p w14:paraId="06AF7EF3">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《江西省安委会办公室关于印发企业安全生产资料建档通用要求的通知》（赣安办字</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6</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53号）</w:t>
      </w:r>
    </w:p>
    <w:p w14:paraId="5F157453">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val="en-US" w:eastAsia="zh-CN"/>
        </w:rPr>
        <w:t>5</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《江西省安委会办公室关于印发江西省安全风险分级管控体系建设通用指南的通知》（赣安办字</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6</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55号）</w:t>
      </w:r>
    </w:p>
    <w:p w14:paraId="213EB2CA">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val="en-US" w:eastAsia="zh-CN"/>
        </w:rPr>
        <w:t>6</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《国家安全监管总局 保监会</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财政部关于印发〈安全生产责任保险实施办法〉的通知》（安监总办</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7</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140号）</w:t>
      </w:r>
    </w:p>
    <w:p w14:paraId="67CEDC8B">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val="en-US" w:eastAsia="zh-CN"/>
        </w:rPr>
        <w:t>7</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《江西省安全生产委员会关于在全省高危行业领域实施安全生产责任保险制度的指导意见》（赣安</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7</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22号）</w:t>
      </w:r>
    </w:p>
    <w:p w14:paraId="0C87A2DC">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val="en-US" w:eastAsia="zh-CN"/>
        </w:rPr>
        <w:t>8</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《国家安全监管总局办公厅关于修改用人单位劳动防护用品管理规范的通知》（安监总厅安健</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201</w:t>
      </w:r>
      <w:r>
        <w:rPr>
          <w:rFonts w:hint="default" w:ascii="Times New Roman" w:hAnsi="Times New Roman" w:cs="Times New Roman"/>
          <w:color w:val="auto"/>
          <w:sz w:val="28"/>
          <w:szCs w:val="28"/>
          <w:lang w:val="en-US" w:eastAsia="zh-CN"/>
        </w:rPr>
        <w:t>8</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3号）</w:t>
      </w:r>
    </w:p>
    <w:p w14:paraId="20624AA3">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val="en-US" w:eastAsia="zh-CN"/>
        </w:rPr>
        <w:t>9</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《关于印发江西省防范化解尾矿库安全风险工作实施方案的通知》（赣应急字</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w:t>
      </w:r>
      <w:r>
        <w:rPr>
          <w:rFonts w:hint="default" w:ascii="Times New Roman" w:hAnsi="Times New Roman" w:eastAsia="宋体" w:cs="Times New Roman"/>
          <w:color w:val="auto"/>
          <w:sz w:val="28"/>
          <w:szCs w:val="28"/>
        </w:rPr>
        <w:t>0</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64号）</w:t>
      </w:r>
    </w:p>
    <w:p w14:paraId="6F1002F3">
      <w:pPr>
        <w:bidi w:val="0"/>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val="en-US" w:eastAsia="zh-CN"/>
        </w:rPr>
        <w:t>30</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《江西省应急管理厅关于加强全省尾矿库安全生产风险监测预警系统运行管理的通知》（赣应急字</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22</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18号）</w:t>
      </w:r>
    </w:p>
    <w:p w14:paraId="038FEC2A">
      <w:pPr>
        <w:bidi w:val="0"/>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3</w:t>
      </w:r>
      <w:r>
        <w:rPr>
          <w:rFonts w:hint="eastAsia" w:ascii="Times New Roman" w:hAnsi="Times New Roman" w:cs="Times New Roman"/>
          <w:color w:val="auto"/>
          <w:sz w:val="28"/>
          <w:szCs w:val="28"/>
          <w:lang w:val="en-US" w:eastAsia="zh-CN"/>
        </w:rPr>
        <w:t>1</w:t>
      </w:r>
      <w:r>
        <w:rPr>
          <w:rFonts w:hint="default" w:ascii="Times New Roman" w:hAnsi="Times New Roman" w:cs="Times New Roman"/>
          <w:color w:val="auto"/>
          <w:sz w:val="28"/>
          <w:szCs w:val="28"/>
          <w:lang w:val="en-US" w:eastAsia="zh-CN"/>
        </w:rPr>
        <w:t>.</w:t>
      </w:r>
      <w:r>
        <w:rPr>
          <w:rFonts w:hint="default" w:ascii="Times New Roman" w:hAnsi="Times New Roman" w:eastAsia="宋体" w:cs="Times New Roman"/>
          <w:color w:val="auto"/>
          <w:sz w:val="28"/>
          <w:szCs w:val="28"/>
        </w:rPr>
        <w:t>《江西省安委会办公室关于推动生产经营单位构建安全风险分级管控和隐患排查治理双重预防机制的指导意见》（赣安办字</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23</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26号）</w:t>
      </w:r>
    </w:p>
    <w:p w14:paraId="6EA6D50D">
      <w:pPr>
        <w:pStyle w:val="2"/>
        <w:rPr>
          <w:rFonts w:hint="default" w:eastAsia="宋体"/>
          <w:lang w:val="en-US" w:eastAsia="zh-CN"/>
        </w:rPr>
      </w:pPr>
      <w:r>
        <w:rPr>
          <w:rFonts w:hint="eastAsia" w:ascii="Times New Roman" w:hAnsi="Times New Roman" w:cs="Times New Roman"/>
          <w:color w:val="auto"/>
          <w:sz w:val="28"/>
          <w:szCs w:val="28"/>
          <w:lang w:val="en-US" w:eastAsia="zh-CN"/>
        </w:rPr>
        <w:t>32.《江西省应急管理厅关于第一类非药品类易制毒化学品、非煤矿矿山行政许可事项办理的公告》（江西省应急管理厅，2023年2月21日）</w:t>
      </w:r>
    </w:p>
    <w:p w14:paraId="3E64BDF2">
      <w:pPr>
        <w:pStyle w:val="5"/>
        <w:bidi w:val="0"/>
        <w:rPr>
          <w:rFonts w:hint="default" w:ascii="Times New Roman" w:hAnsi="Times New Roman" w:cs="Times New Roman"/>
          <w:color w:val="auto"/>
        </w:rPr>
      </w:pPr>
      <w:bookmarkStart w:id="24" w:name="_Toc5587"/>
      <w:bookmarkStart w:id="25" w:name="_Toc18278"/>
      <w:r>
        <w:rPr>
          <w:rFonts w:hint="default" w:ascii="Times New Roman" w:hAnsi="Times New Roman" w:cs="Times New Roman"/>
          <w:color w:val="auto"/>
        </w:rPr>
        <w:t>1.</w:t>
      </w:r>
      <w:r>
        <w:rPr>
          <w:rFonts w:hint="default" w:ascii="Times New Roman" w:hAnsi="Times New Roman" w:cs="Times New Roman"/>
          <w:color w:val="auto"/>
          <w:lang w:val="en-US" w:eastAsia="zh-CN"/>
        </w:rPr>
        <w:t>2.6</w:t>
      </w:r>
      <w:r>
        <w:rPr>
          <w:rFonts w:hint="default" w:ascii="Times New Roman" w:hAnsi="Times New Roman" w:cs="Times New Roman"/>
          <w:color w:val="auto"/>
        </w:rPr>
        <w:t>标准、规范</w:t>
      </w:r>
      <w:bookmarkEnd w:id="24"/>
      <w:bookmarkEnd w:id="25"/>
    </w:p>
    <w:p w14:paraId="4EAA5DCA">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《岩土工程勘察规范（2009年修订版）》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GB50021-2001</w:t>
      </w:r>
    </w:p>
    <w:p w14:paraId="2A6B95B1">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《生产过程安全卫生要求总则》       </w:t>
      </w:r>
      <w:r>
        <w:rPr>
          <w:rFonts w:hint="eastAsia"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w:t>
      </w:r>
      <w:r>
        <w:rPr>
          <w:rFonts w:hint="eastAsia"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GB12801-2008</w:t>
      </w:r>
    </w:p>
    <w:p w14:paraId="1E76796F">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《安全标志及其使用导则》                         GB2894-2008</w:t>
      </w:r>
    </w:p>
    <w:p w14:paraId="4D9D5330">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《建筑抗震设防分类标准》                         GB50223-2008</w:t>
      </w:r>
    </w:p>
    <w:p w14:paraId="56EE2DCD">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《建筑抗震设计</w:t>
      </w:r>
      <w:r>
        <w:rPr>
          <w:rFonts w:hint="default" w:ascii="Times New Roman" w:hAnsi="Times New Roman" w:cs="Times New Roman"/>
          <w:color w:val="auto"/>
          <w:sz w:val="28"/>
          <w:szCs w:val="28"/>
          <w:lang w:val="en-US" w:eastAsia="zh-CN"/>
        </w:rPr>
        <w:t>标准</w:t>
      </w:r>
      <w:r>
        <w:rPr>
          <w:rFonts w:hint="default" w:ascii="Times New Roman" w:hAnsi="Times New Roman" w:eastAsia="宋体" w:cs="Times New Roman"/>
          <w:color w:val="auto"/>
          <w:sz w:val="28"/>
          <w:szCs w:val="28"/>
        </w:rPr>
        <w:t>（2024年版）》</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GB50011-2010</w:t>
      </w:r>
    </w:p>
    <w:p w14:paraId="4B049231">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《混凝土结构工程施工规范》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GB50666-2011</w:t>
      </w:r>
    </w:p>
    <w:p w14:paraId="28A34EFA">
      <w:pPr>
        <w:bidi w:val="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《混凝土结构</w:t>
      </w:r>
      <w:r>
        <w:rPr>
          <w:rFonts w:hint="default" w:ascii="Times New Roman" w:hAnsi="Times New Roman" w:cs="Times New Roman"/>
          <w:color w:val="auto"/>
          <w:sz w:val="28"/>
          <w:szCs w:val="28"/>
          <w:lang w:val="en-US" w:eastAsia="zh-CN"/>
        </w:rPr>
        <w:t>通用</w:t>
      </w:r>
      <w:r>
        <w:rPr>
          <w:rFonts w:hint="default" w:ascii="Times New Roman" w:hAnsi="Times New Roman" w:eastAsia="宋体" w:cs="Times New Roman"/>
          <w:color w:val="auto"/>
          <w:sz w:val="28"/>
          <w:szCs w:val="28"/>
        </w:rPr>
        <w:t xml:space="preserve">规范》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GB5</w:t>
      </w:r>
      <w:r>
        <w:rPr>
          <w:rFonts w:hint="default" w:ascii="Times New Roman" w:hAnsi="Times New Roman" w:cs="Times New Roman"/>
          <w:color w:val="auto"/>
          <w:sz w:val="28"/>
          <w:szCs w:val="28"/>
          <w:lang w:val="en-US" w:eastAsia="zh-CN"/>
        </w:rPr>
        <w:t>5008</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21</w:t>
      </w:r>
    </w:p>
    <w:p w14:paraId="61C9052F">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《工业企业总平面设计规范》                       GB50187-2012</w:t>
      </w:r>
    </w:p>
    <w:p w14:paraId="7B868383">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《构筑物抗震设计规范》                           GB50191-2012</w:t>
      </w:r>
    </w:p>
    <w:p w14:paraId="6BEFF22E">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《尾矿设施设计规范》                             GB50863-2013</w:t>
      </w:r>
    </w:p>
    <w:p w14:paraId="114F2886">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《尾矿设施施工及验收规范》                       GB50864-2013</w:t>
      </w:r>
    </w:p>
    <w:p w14:paraId="52DD5813">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《防洪标准》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GB50201-2014</w:t>
      </w:r>
    </w:p>
    <w:p w14:paraId="143AB038">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《中国地震动参数区划图》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GB18306-2015</w:t>
      </w:r>
    </w:p>
    <w:p w14:paraId="0DF6E6A4">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《尾矿库在线监测系统工程技术规范》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GB51108-2015</w:t>
      </w:r>
    </w:p>
    <w:p w14:paraId="09E06463">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《危险化学品重大危险源辨识》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GB18218-2018</w:t>
      </w:r>
    </w:p>
    <w:p w14:paraId="284108AA">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《一般工业固体废物贮存和填埋污染控制标准》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GB18599-2020</w:t>
      </w:r>
    </w:p>
    <w:p w14:paraId="6C34EB45">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《水工建筑物抗震设计标准》                       GB51247-2018</w:t>
      </w:r>
    </w:p>
    <w:p w14:paraId="6C59A1BF">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《生产建设项目水土保持技术标准》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GB50433-2018</w:t>
      </w:r>
    </w:p>
    <w:p w14:paraId="63332600">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《尾矿库安全规程》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GB39496-2020</w:t>
      </w:r>
    </w:p>
    <w:p w14:paraId="4A9FC959">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《矿山安全标志》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w:t>
      </w:r>
      <w:r>
        <w:rPr>
          <w:rFonts w:hint="default" w:ascii="Times New Roman" w:hAnsi="Times New Roman" w:cs="Times New Roman"/>
          <w:color w:val="auto"/>
          <w:sz w:val="28"/>
          <w:szCs w:val="28"/>
          <w:lang w:val="en-US" w:eastAsia="zh-CN"/>
        </w:rPr>
        <w:t>/T</w:t>
      </w:r>
      <w:r>
        <w:rPr>
          <w:rFonts w:hint="default" w:ascii="Times New Roman" w:hAnsi="Times New Roman" w:eastAsia="宋体" w:cs="Times New Roman"/>
          <w:color w:val="auto"/>
          <w:sz w:val="28"/>
          <w:szCs w:val="28"/>
        </w:rPr>
        <w:t>14161-2008</w:t>
      </w:r>
    </w:p>
    <w:p w14:paraId="1AC87093">
      <w:pPr>
        <w:bidi w:val="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《水土保持综合治理规划通则》                   GB/T15772-2008</w:t>
      </w:r>
    </w:p>
    <w:p w14:paraId="1FBEC233">
      <w:pPr>
        <w:bidi w:val="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《水土保持综合治理技术规范》                   GB/T16453-2008</w:t>
      </w:r>
    </w:p>
    <w:p w14:paraId="56B6B809">
      <w:pPr>
        <w:bidi w:val="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 xml:space="preserve">《企业安全生产标准化基本规范》         </w:t>
      </w:r>
      <w:r>
        <w:rPr>
          <w:rFonts w:hint="eastAsia" w:ascii="Times New Roman" w:hAnsi="Times New Roman" w:cs="Times New Roman"/>
          <w:color w:val="auto"/>
          <w:sz w:val="28"/>
          <w:szCs w:val="28"/>
          <w:lang w:val="en-US" w:eastAsia="zh-CN"/>
        </w:rPr>
        <w:t xml:space="preserve">    </w:t>
      </w:r>
      <w:r>
        <w:rPr>
          <w:rFonts w:hint="default" w:ascii="Times New Roman" w:hAnsi="Times New Roman" w:cs="Times New Roman"/>
          <w:color w:val="auto"/>
          <w:sz w:val="28"/>
          <w:szCs w:val="28"/>
          <w:lang w:val="en-US" w:eastAsia="zh-CN"/>
        </w:rPr>
        <w:t xml:space="preserve">    GB/T33000-2016</w:t>
      </w:r>
    </w:p>
    <w:p w14:paraId="2EC24DF1">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《生产经营单位生产安全事故应急预案编制导则》</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GB/T29639-2020</w:t>
      </w:r>
    </w:p>
    <w:p w14:paraId="7D8F73CA">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《生产过程危险和有害因素分类与代码》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GB/T13861-2022</w:t>
      </w:r>
    </w:p>
    <w:p w14:paraId="699B86CA">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《厂矿道路设计规范》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GBJ22-</w:t>
      </w:r>
      <w:r>
        <w:rPr>
          <w:rFonts w:hint="default" w:ascii="Times New Roman" w:hAnsi="Times New Roman" w:cs="Times New Roman"/>
          <w:color w:val="auto"/>
          <w:sz w:val="28"/>
          <w:szCs w:val="28"/>
          <w:lang w:val="en-US" w:eastAsia="zh-CN"/>
        </w:rPr>
        <w:t>19</w:t>
      </w:r>
      <w:r>
        <w:rPr>
          <w:rFonts w:hint="default" w:ascii="Times New Roman" w:hAnsi="Times New Roman" w:eastAsia="宋体" w:cs="Times New Roman"/>
          <w:color w:val="auto"/>
          <w:sz w:val="28"/>
          <w:szCs w:val="28"/>
        </w:rPr>
        <w:t>87</w:t>
      </w:r>
    </w:p>
    <w:p w14:paraId="328472CD">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《安全评价通则》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AQ8001-2007</w:t>
      </w:r>
    </w:p>
    <w:p w14:paraId="7D9566A2">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《尾矿库安全监测技术规范》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AQ2030-2010</w:t>
      </w:r>
    </w:p>
    <w:p w14:paraId="1474A994">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《碾压式土石坝施工技术规范》                    DL/T5129-2013</w:t>
      </w:r>
    </w:p>
    <w:p w14:paraId="6B65E6D6">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《水工混凝土结构设计规范》                         SL191-2008</w:t>
      </w:r>
    </w:p>
    <w:p w14:paraId="71E3CB31">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《水工建筑物荷载设计规范》                         SL744-2016</w:t>
      </w:r>
    </w:p>
    <w:p w14:paraId="432F0F5D">
      <w:pPr>
        <w:bidi w:val="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 xml:space="preserve">《水工隧洞设计规范》                        </w:t>
      </w:r>
      <w:r>
        <w:rPr>
          <w:rFonts w:hint="eastAsia" w:ascii="Times New Roman" w:hAnsi="Times New Roman" w:cs="Times New Roman"/>
          <w:color w:val="auto"/>
          <w:sz w:val="28"/>
          <w:szCs w:val="28"/>
          <w:lang w:val="en-US" w:eastAsia="zh-CN"/>
        </w:rPr>
        <w:t xml:space="preserve">     </w:t>
      </w:r>
      <w:r>
        <w:rPr>
          <w:rFonts w:hint="default" w:ascii="Times New Roman" w:hAnsi="Times New Roman" w:cs="Times New Roman"/>
          <w:color w:val="auto"/>
          <w:sz w:val="28"/>
          <w:szCs w:val="28"/>
          <w:lang w:val="en-US" w:eastAsia="zh-CN"/>
        </w:rPr>
        <w:t xml:space="preserve">  </w:t>
      </w:r>
      <w:r>
        <w:rPr>
          <w:rFonts w:hint="eastAsia" w:ascii="Times New Roman" w:hAnsi="Times New Roman" w:cs="Times New Roman"/>
          <w:color w:val="auto"/>
          <w:sz w:val="28"/>
          <w:szCs w:val="28"/>
          <w:lang w:val="en-US" w:eastAsia="zh-CN"/>
        </w:rPr>
        <w:t>SL279-2016</w:t>
      </w:r>
    </w:p>
    <w:p w14:paraId="66835001">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《溢洪道设计规范》                                 SL253-2018</w:t>
      </w:r>
    </w:p>
    <w:p w14:paraId="4D6C590F">
      <w:pPr>
        <w:bidi w:val="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《碾压式土石坝设计规范》                           SL274-2020</w:t>
      </w:r>
    </w:p>
    <w:p w14:paraId="62A9531A">
      <w:pPr>
        <w:bidi w:val="0"/>
        <w:rPr>
          <w:rFonts w:hint="default" w:ascii="Times New Roman" w:hAnsi="Times New Roman" w:cs="Times New Roman"/>
          <w:color w:val="auto"/>
          <w:sz w:val="28"/>
          <w:szCs w:val="28"/>
          <w:lang w:val="en-US" w:eastAsia="zh-CN"/>
        </w:rPr>
      </w:pPr>
      <w:r>
        <w:rPr>
          <w:rFonts w:hint="default" w:ascii="Times New Roman" w:hAnsi="Times New Roman" w:eastAsia="宋体" w:cs="Times New Roman"/>
          <w:color w:val="auto"/>
          <w:sz w:val="28"/>
          <w:szCs w:val="28"/>
        </w:rPr>
        <w:t xml:space="preserve">《水利水电工程设计洪水计算规范》           </w:t>
      </w:r>
      <w:r>
        <w:rPr>
          <w:rFonts w:hint="default"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rPr>
        <w:t xml:space="preserve">     SL</w:t>
      </w:r>
      <w:r>
        <w:rPr>
          <w:rFonts w:hint="default" w:ascii="Times New Roman" w:hAnsi="Times New Roman" w:cs="Times New Roman"/>
          <w:color w:val="auto"/>
          <w:sz w:val="28"/>
          <w:szCs w:val="28"/>
          <w:lang w:val="en-US" w:eastAsia="zh-CN"/>
        </w:rPr>
        <w:t>44</w:t>
      </w:r>
      <w:r>
        <w:rPr>
          <w:rFonts w:hint="default" w:ascii="Times New Roman" w:hAnsi="Times New Roman" w:eastAsia="宋体" w:cs="Times New Roman"/>
          <w:color w:val="auto"/>
          <w:sz w:val="28"/>
          <w:szCs w:val="28"/>
        </w:rPr>
        <w:t>-20</w:t>
      </w:r>
      <w:r>
        <w:rPr>
          <w:rFonts w:hint="default" w:ascii="Times New Roman" w:hAnsi="Times New Roman" w:cs="Times New Roman"/>
          <w:color w:val="auto"/>
          <w:sz w:val="28"/>
          <w:szCs w:val="28"/>
          <w:lang w:val="en-US" w:eastAsia="zh-CN"/>
        </w:rPr>
        <w:t>06</w:t>
      </w:r>
    </w:p>
    <w:p w14:paraId="16205C1C">
      <w:pPr>
        <w:bidi w:val="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《水利水电工程水文计算规范》                     SL/T278-2020</w:t>
      </w:r>
    </w:p>
    <w:p w14:paraId="4ED2C05B">
      <w:pPr>
        <w:pStyle w:val="5"/>
        <w:bidi w:val="0"/>
        <w:rPr>
          <w:rFonts w:hint="default" w:ascii="Times New Roman" w:hAnsi="Times New Roman" w:cs="Times New Roman"/>
          <w:color w:val="auto"/>
        </w:rPr>
      </w:pPr>
      <w:bookmarkStart w:id="26" w:name="_Toc22500"/>
      <w:bookmarkStart w:id="27" w:name="_Toc1052"/>
      <w:r>
        <w:rPr>
          <w:rFonts w:hint="default" w:ascii="Times New Roman" w:hAnsi="Times New Roman" w:cs="Times New Roman"/>
          <w:color w:val="auto"/>
        </w:rPr>
        <w:t>1.2.</w:t>
      </w:r>
      <w:r>
        <w:rPr>
          <w:rFonts w:hint="default" w:ascii="Times New Roman" w:hAnsi="Times New Roman" w:cs="Times New Roman"/>
          <w:color w:val="auto"/>
          <w:lang w:val="en-US" w:eastAsia="zh-CN"/>
        </w:rPr>
        <w:t>7</w:t>
      </w:r>
      <w:r>
        <w:rPr>
          <w:rFonts w:hint="default" w:ascii="Times New Roman" w:hAnsi="Times New Roman" w:cs="Times New Roman"/>
          <w:color w:val="auto"/>
        </w:rPr>
        <w:t>其他依据和主要参考资料</w:t>
      </w:r>
      <w:bookmarkEnd w:id="26"/>
      <w:bookmarkEnd w:id="27"/>
    </w:p>
    <w:p w14:paraId="4A2312C5">
      <w:pP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w:t>
      </w:r>
      <w:r>
        <w:rPr>
          <w:rFonts w:hint="default" w:ascii="Times New Roman" w:hAnsi="Times New Roman" w:cs="Times New Roman"/>
          <w:color w:val="auto"/>
          <w:lang w:val="en-US" w:eastAsia="zh-CN"/>
        </w:rPr>
        <w:t>《江西临川鲁金矿业有限公司茅排金矿庄前尾矿库工程</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水文</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地质勘察报告》（江西省物化探地质工程勘察院</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2012年11月）</w:t>
      </w:r>
      <w:r>
        <w:rPr>
          <w:rFonts w:hint="eastAsia" w:ascii="Times New Roman" w:hAnsi="Times New Roman" w:cs="Times New Roman"/>
          <w:color w:val="auto"/>
          <w:lang w:val="en-US" w:eastAsia="zh-CN"/>
        </w:rPr>
        <w:t>；</w:t>
      </w:r>
    </w:p>
    <w:p w14:paraId="440FC972">
      <w:pP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2.《江西省临川鲁金矿业有限公司茅排金矿庄前尾矿库整改设计安全专篇》（金建工程设计有限公司，2012年11月）；</w:t>
      </w:r>
    </w:p>
    <w:p w14:paraId="5AEB8C0A">
      <w:pP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3.《江西临川鲁金矿业有限公司临川茅排金矿庄前尾矿库调洪演算报告（2024年度）》（金建工程设计有限公司，2024年3月）；</w:t>
      </w:r>
    </w:p>
    <w:p w14:paraId="39C7466F">
      <w:pPr>
        <w:pStyle w:val="2"/>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4.《江西临川鲁金矿业有限公司临川茅排金矿庄前尾矿库排洪构筑物质量检测报告》（抚州鹏程质量检测有限公司，2024年4月）；</w:t>
      </w:r>
    </w:p>
    <w:p w14:paraId="06E77B45">
      <w:pPr>
        <w:pStyle w:val="2"/>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5.《江西临川鲁金矿业有限公司民用爆炸物品储存库安全现状评价报告》（江西省赣华安全科技有限公司，2023年8月）；</w:t>
      </w:r>
    </w:p>
    <w:p w14:paraId="6047C0AC">
      <w:pP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5.企业提供的其他资料。</w:t>
      </w:r>
    </w:p>
    <w:p w14:paraId="3508A271">
      <w:pPr>
        <w:pStyle w:val="4"/>
        <w:bidi w:val="0"/>
        <w:rPr>
          <w:rFonts w:hint="default" w:ascii="Times New Roman" w:hAnsi="Times New Roman" w:cs="Times New Roman"/>
          <w:color w:val="auto"/>
          <w:lang w:val="en-US" w:eastAsia="zh-CN"/>
        </w:rPr>
      </w:pPr>
      <w:bookmarkStart w:id="28" w:name="_Toc17122"/>
      <w:r>
        <w:rPr>
          <w:rFonts w:hint="default" w:ascii="Times New Roman" w:hAnsi="Times New Roman" w:cs="Times New Roman"/>
          <w:color w:val="auto"/>
          <w:lang w:val="en-US" w:eastAsia="zh-CN"/>
        </w:rPr>
        <w:t>1.3评价对象、范围</w:t>
      </w:r>
      <w:bookmarkEnd w:id="28"/>
    </w:p>
    <w:p w14:paraId="37D5721B">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评价对象：江西临川鲁金矿业有限公司茅排金矿庄前尾矿库。</w:t>
      </w:r>
    </w:p>
    <w:p w14:paraId="60C5C6D2">
      <w:pPr>
        <w:rPr>
          <w:rFonts w:hint="default" w:ascii="Times New Roman" w:hAnsi="Times New Roman" w:cs="Times New Roman"/>
          <w:color w:val="auto"/>
          <w:sz w:val="28"/>
          <w:szCs w:val="28"/>
          <w:lang w:eastAsia="zh-CN"/>
        </w:rPr>
      </w:pPr>
      <w:r>
        <w:rPr>
          <w:rFonts w:hint="default" w:ascii="Times New Roman" w:hAnsi="Times New Roman" w:cs="Times New Roman"/>
          <w:color w:val="auto"/>
          <w:lang w:val="en-US" w:eastAsia="zh-CN"/>
        </w:rPr>
        <w:t>评价范围：江西临川鲁金矿业有限公司茅排金矿庄前尾矿库的库区、尾矿坝、</w:t>
      </w:r>
      <w:r>
        <w:rPr>
          <w:rFonts w:hint="default" w:ascii="Times New Roman" w:hAnsi="Times New Roman" w:cs="Times New Roman"/>
          <w:strike w:val="0"/>
          <w:dstrike w:val="0"/>
          <w:color w:val="auto"/>
        </w:rPr>
        <w:t>排</w:t>
      </w:r>
      <w:r>
        <w:rPr>
          <w:rFonts w:hint="default" w:ascii="Times New Roman" w:hAnsi="Times New Roman" w:cs="Times New Roman"/>
          <w:strike w:val="0"/>
          <w:dstrike w:val="0"/>
          <w:color w:val="auto"/>
          <w:lang w:val="en-US" w:eastAsia="zh-CN"/>
        </w:rPr>
        <w:t>洪</w:t>
      </w:r>
      <w:r>
        <w:rPr>
          <w:rFonts w:hint="default" w:ascii="Times New Roman" w:hAnsi="Times New Roman" w:cs="Times New Roman"/>
          <w:strike w:val="0"/>
          <w:dstrike w:val="0"/>
          <w:color w:val="auto"/>
        </w:rPr>
        <w:t>排水构筑物</w:t>
      </w:r>
      <w:r>
        <w:rPr>
          <w:rFonts w:hint="default" w:ascii="Times New Roman" w:hAnsi="Times New Roman" w:cs="Times New Roman"/>
          <w:strike w:val="0"/>
          <w:dstrike w:val="0"/>
          <w:color w:val="auto"/>
          <w:lang w:eastAsia="zh-CN"/>
        </w:rPr>
        <w:t>、</w:t>
      </w:r>
      <w:r>
        <w:rPr>
          <w:rFonts w:hint="default" w:ascii="Times New Roman" w:hAnsi="Times New Roman" w:cs="Times New Roman"/>
          <w:color w:val="auto"/>
          <w:sz w:val="28"/>
          <w:szCs w:val="28"/>
        </w:rPr>
        <w:t>安全监测设施</w:t>
      </w:r>
      <w:r>
        <w:rPr>
          <w:rFonts w:hint="default" w:ascii="Times New Roman" w:hAnsi="Times New Roman" w:cs="Times New Roman"/>
          <w:color w:val="auto"/>
          <w:sz w:val="28"/>
          <w:szCs w:val="28"/>
          <w:lang w:val="en-US" w:eastAsia="zh-CN"/>
        </w:rPr>
        <w:t>和辅助设施等</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rPr>
        <w:t>不包含尾矿输送系统和回水系统</w:t>
      </w:r>
      <w:r>
        <w:rPr>
          <w:rFonts w:hint="default" w:ascii="Times New Roman" w:hAnsi="Times New Roman" w:cs="Times New Roman"/>
          <w:color w:val="auto"/>
          <w:sz w:val="28"/>
          <w:szCs w:val="28"/>
          <w:lang w:eastAsia="zh-CN"/>
        </w:rPr>
        <w:t>。</w:t>
      </w:r>
    </w:p>
    <w:p w14:paraId="079EA265">
      <w:pPr>
        <w:pStyle w:val="4"/>
        <w:bidi w:val="0"/>
        <w:rPr>
          <w:rFonts w:hint="default" w:ascii="Times New Roman" w:hAnsi="Times New Roman" w:cs="Times New Roman"/>
          <w:color w:val="auto"/>
          <w:lang w:val="en-US" w:eastAsia="zh-CN"/>
        </w:rPr>
      </w:pPr>
      <w:bookmarkStart w:id="29" w:name="_Toc31242"/>
      <w:r>
        <w:rPr>
          <w:rFonts w:hint="default" w:ascii="Times New Roman" w:hAnsi="Times New Roman" w:cs="Times New Roman"/>
          <w:color w:val="auto"/>
          <w:lang w:val="en-US" w:eastAsia="zh-CN"/>
        </w:rPr>
        <w:t>1.4评价程序</w:t>
      </w:r>
      <w:bookmarkEnd w:id="29"/>
    </w:p>
    <w:p w14:paraId="4E4B9B9D">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安全现状评价程序如下图1.4-1。</w:t>
      </w:r>
    </w:p>
    <w:p w14:paraId="3FA11304">
      <w:pPr>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mc:AlternateContent>
          <mc:Choice Requires="wpc">
            <w:drawing>
              <wp:inline distT="0" distB="0" distL="114300" distR="114300">
                <wp:extent cx="5143500" cy="4556760"/>
                <wp:effectExtent l="0" t="4445" r="0" b="0"/>
                <wp:docPr id="32" name="画布 3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7" name="流程图: 过程 17"/>
                        <wps:cNvSpPr/>
                        <wps:spPr>
                          <a:xfrm>
                            <a:off x="1371600" y="2971800"/>
                            <a:ext cx="2171700" cy="2984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2B80E46">
                              <w:pPr>
                                <w:adjustRightInd/>
                                <w:snapToGrid/>
                                <w:spacing w:line="240" w:lineRule="auto"/>
                                <w:ind w:firstLine="420" w:firstLineChars="200"/>
                                <w:rPr>
                                  <w:rFonts w:hint="eastAsia" w:ascii="Times New Roman" w:hAnsi="Times New Roman" w:eastAsia="宋体" w:cs="Times New Roman"/>
                                  <w:sz w:val="21"/>
                                </w:rPr>
                              </w:pPr>
                              <w:r>
                                <w:rPr>
                                  <w:rFonts w:hint="eastAsia" w:ascii="Times New Roman" w:hAnsi="Times New Roman" w:eastAsia="宋体" w:cs="Times New Roman"/>
                                  <w:sz w:val="21"/>
                                </w:rPr>
                                <w:t>提出安全对策措施建议</w:t>
                              </w:r>
                            </w:p>
                          </w:txbxContent>
                        </wps:txbx>
                        <wps:bodyPr upright="1"/>
                      </wps:wsp>
                      <wps:wsp>
                        <wps:cNvPr id="18" name="流程图: 过程 18"/>
                        <wps:cNvSpPr/>
                        <wps:spPr>
                          <a:xfrm>
                            <a:off x="1371600" y="3566160"/>
                            <a:ext cx="2171700" cy="2971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7DAC272">
                              <w:pPr>
                                <w:adjustRightInd/>
                                <w:snapToGrid/>
                                <w:spacing w:line="240" w:lineRule="auto"/>
                                <w:ind w:firstLine="840" w:firstLineChars="400"/>
                                <w:rPr>
                                  <w:rFonts w:hint="eastAsia" w:ascii="Times New Roman" w:hAnsi="Times New Roman" w:eastAsia="宋体" w:cs="Times New Roman"/>
                                  <w:sz w:val="21"/>
                                </w:rPr>
                              </w:pPr>
                              <w:r>
                                <w:rPr>
                                  <w:rFonts w:hint="eastAsia" w:ascii="Times New Roman" w:hAnsi="Times New Roman" w:eastAsia="宋体" w:cs="Times New Roman"/>
                                  <w:sz w:val="21"/>
                                </w:rPr>
                                <w:t>做出评价结论</w:t>
                              </w:r>
                            </w:p>
                          </w:txbxContent>
                        </wps:txbx>
                        <wps:bodyPr upright="1"/>
                      </wps:wsp>
                      <wps:wsp>
                        <wps:cNvPr id="19" name="流程图: 过程 19"/>
                        <wps:cNvSpPr/>
                        <wps:spPr>
                          <a:xfrm>
                            <a:off x="1371600" y="4160520"/>
                            <a:ext cx="2172335" cy="29718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F9551F5">
                              <w:pPr>
                                <w:adjustRightInd/>
                                <w:snapToGrid/>
                                <w:spacing w:line="240" w:lineRule="auto"/>
                                <w:ind w:firstLine="630" w:firstLineChars="300"/>
                                <w:rPr>
                                  <w:rFonts w:hint="eastAsia" w:ascii="Times New Roman" w:hAnsi="Times New Roman" w:eastAsia="宋体" w:cs="Times New Roman"/>
                                  <w:sz w:val="21"/>
                                </w:rPr>
                              </w:pPr>
                              <w:r>
                                <w:rPr>
                                  <w:rFonts w:hint="eastAsia" w:ascii="Times New Roman" w:hAnsi="Times New Roman" w:eastAsia="宋体" w:cs="Times New Roman"/>
                                  <w:sz w:val="21"/>
                                </w:rPr>
                                <w:t>编制安全</w:t>
                              </w:r>
                              <w:r>
                                <w:rPr>
                                  <w:rFonts w:hint="eastAsia" w:ascii="Times New Roman" w:hAnsi="Times New Roman" w:eastAsia="宋体" w:cs="Times New Roman"/>
                                  <w:sz w:val="21"/>
                                  <w:lang w:val="en-US" w:eastAsia="zh-CN"/>
                                </w:rPr>
                                <w:t>现状</w:t>
                              </w:r>
                              <w:r>
                                <w:rPr>
                                  <w:rFonts w:hint="eastAsia" w:ascii="Times New Roman" w:hAnsi="Times New Roman" w:eastAsia="宋体" w:cs="Times New Roman"/>
                                  <w:sz w:val="21"/>
                                </w:rPr>
                                <w:t>评价报告</w:t>
                              </w:r>
                            </w:p>
                            <w:p w14:paraId="08B2BAF9">
                              <w:pPr>
                                <w:adjustRightInd/>
                                <w:snapToGrid/>
                                <w:spacing w:line="240" w:lineRule="auto"/>
                                <w:ind w:firstLine="630" w:firstLineChars="300"/>
                                <w:rPr>
                                  <w:rFonts w:hint="eastAsia" w:ascii="Times New Roman" w:hAnsi="Times New Roman" w:eastAsia="宋体" w:cs="Times New Roman"/>
                                  <w:sz w:val="21"/>
                                </w:rPr>
                              </w:pPr>
                            </w:p>
                          </w:txbxContent>
                        </wps:txbx>
                        <wps:bodyPr upright="1"/>
                      </wps:wsp>
                      <wps:wsp>
                        <wps:cNvPr id="20" name="流程图: 过程 20"/>
                        <wps:cNvSpPr/>
                        <wps:spPr>
                          <a:xfrm>
                            <a:off x="1371600" y="2377440"/>
                            <a:ext cx="2171700" cy="2965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32F23D6">
                              <w:pPr>
                                <w:adjustRightInd/>
                                <w:snapToGrid/>
                                <w:spacing w:line="240" w:lineRule="auto"/>
                                <w:ind w:firstLine="630" w:firstLineChars="300"/>
                                <w:rPr>
                                  <w:rFonts w:hint="eastAsia" w:ascii="Times New Roman" w:hAnsi="Times New Roman" w:eastAsia="宋体" w:cs="Times New Roman"/>
                                  <w:sz w:val="21"/>
                                </w:rPr>
                              </w:pPr>
                              <w:r>
                                <w:rPr>
                                  <w:rFonts w:hint="eastAsia" w:ascii="Times New Roman" w:hAnsi="Times New Roman" w:eastAsia="宋体" w:cs="Times New Roman"/>
                                  <w:sz w:val="21"/>
                                </w:rPr>
                                <w:t>定性、定量评价</w:t>
                              </w:r>
                            </w:p>
                          </w:txbxContent>
                        </wps:txbx>
                        <wps:bodyPr upright="1"/>
                      </wps:wsp>
                      <wps:wsp>
                        <wps:cNvPr id="21" name="流程图: 过程 21"/>
                        <wps:cNvSpPr/>
                        <wps:spPr>
                          <a:xfrm>
                            <a:off x="1371600" y="1783080"/>
                            <a:ext cx="2172335" cy="29654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328E45F">
                              <w:pPr>
                                <w:adjustRightInd/>
                                <w:snapToGrid/>
                                <w:spacing w:line="240" w:lineRule="auto"/>
                                <w:ind w:firstLine="735" w:firstLineChars="350"/>
                                <w:rPr>
                                  <w:rFonts w:hint="eastAsia" w:ascii="Times New Roman" w:hAnsi="Times New Roman" w:eastAsia="宋体" w:cs="Times New Roman"/>
                                  <w:sz w:val="21"/>
                                </w:rPr>
                              </w:pPr>
                              <w:r>
                                <w:rPr>
                                  <w:rFonts w:hint="eastAsia" w:ascii="Times New Roman" w:hAnsi="Times New Roman" w:eastAsia="宋体" w:cs="Times New Roman"/>
                                  <w:sz w:val="21"/>
                                </w:rPr>
                                <w:t>选择评价方法</w:t>
                              </w:r>
                            </w:p>
                          </w:txbxContent>
                        </wps:txbx>
                        <wps:bodyPr upright="1"/>
                      </wps:wsp>
                      <wps:wsp>
                        <wps:cNvPr id="22" name="流程图: 过程 22"/>
                        <wps:cNvSpPr/>
                        <wps:spPr>
                          <a:xfrm>
                            <a:off x="1371600" y="1188720"/>
                            <a:ext cx="2171700" cy="29845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4F47036">
                              <w:pPr>
                                <w:adjustRightInd/>
                                <w:snapToGrid/>
                                <w:spacing w:line="240" w:lineRule="auto"/>
                                <w:ind w:firstLine="735" w:firstLineChars="350"/>
                                <w:rPr>
                                  <w:rFonts w:hint="eastAsia" w:ascii="Times New Roman" w:hAnsi="Times New Roman" w:eastAsia="宋体" w:cs="Times New Roman"/>
                                  <w:sz w:val="21"/>
                                </w:rPr>
                              </w:pPr>
                              <w:r>
                                <w:rPr>
                                  <w:rFonts w:hint="eastAsia" w:ascii="Times New Roman" w:hAnsi="Times New Roman" w:eastAsia="宋体" w:cs="Times New Roman"/>
                                  <w:sz w:val="21"/>
                                </w:rPr>
                                <w:t>划分评价单元</w:t>
                              </w:r>
                            </w:p>
                          </w:txbxContent>
                        </wps:txbx>
                        <wps:bodyPr upright="1"/>
                      </wps:wsp>
                      <wps:wsp>
                        <wps:cNvPr id="23" name="流程图: 过程 23"/>
                        <wps:cNvSpPr/>
                        <wps:spPr>
                          <a:xfrm>
                            <a:off x="1371600" y="594360"/>
                            <a:ext cx="2171700" cy="2978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07C0207">
                              <w:pPr>
                                <w:adjustRightInd/>
                                <w:snapToGrid/>
                                <w:spacing w:line="240" w:lineRule="auto"/>
                                <w:ind w:firstLine="315" w:firstLineChars="150"/>
                                <w:rPr>
                                  <w:rFonts w:hint="eastAsia" w:ascii="Times New Roman" w:hAnsi="Times New Roman" w:eastAsia="宋体" w:cs="Times New Roman"/>
                                  <w:sz w:val="21"/>
                                </w:rPr>
                              </w:pPr>
                              <w:r>
                                <w:rPr>
                                  <w:rFonts w:hint="eastAsia" w:ascii="Times New Roman" w:hAnsi="Times New Roman" w:eastAsia="宋体" w:cs="Times New Roman"/>
                                  <w:sz w:val="21"/>
                                </w:rPr>
                                <w:t>辨识与分析危险、有害因素</w:t>
                              </w:r>
                            </w:p>
                          </w:txbxContent>
                        </wps:txbx>
                        <wps:bodyPr upright="1"/>
                      </wps:wsp>
                      <wps:wsp>
                        <wps:cNvPr id="24" name="流程图: 过程 24"/>
                        <wps:cNvSpPr/>
                        <wps:spPr>
                          <a:xfrm>
                            <a:off x="1371600" y="0"/>
                            <a:ext cx="2171700" cy="2978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6FFFDBF">
                              <w:pPr>
                                <w:adjustRightInd/>
                                <w:snapToGrid/>
                                <w:spacing w:line="240" w:lineRule="auto"/>
                                <w:ind w:firstLine="1050" w:firstLineChars="500"/>
                                <w:rPr>
                                  <w:rFonts w:hint="eastAsia" w:ascii="Times New Roman" w:hAnsi="Times New Roman" w:eastAsia="宋体" w:cs="Times New Roman"/>
                                  <w:sz w:val="21"/>
                                </w:rPr>
                              </w:pPr>
                              <w:r>
                                <w:rPr>
                                  <w:rFonts w:hint="eastAsia" w:ascii="Times New Roman" w:hAnsi="Times New Roman" w:eastAsia="宋体" w:cs="Times New Roman"/>
                                  <w:sz w:val="21"/>
                                </w:rPr>
                                <w:t>前期准备</w:t>
                              </w:r>
                            </w:p>
                          </w:txbxContent>
                        </wps:txbx>
                        <wps:bodyPr upright="1"/>
                      </wps:wsp>
                      <wps:wsp>
                        <wps:cNvPr id="25" name="直接连接符 25"/>
                        <wps:cNvCnPr/>
                        <wps:spPr>
                          <a:xfrm>
                            <a:off x="2400300" y="297180"/>
                            <a:ext cx="635" cy="297180"/>
                          </a:xfrm>
                          <a:prstGeom prst="line">
                            <a:avLst/>
                          </a:prstGeom>
                          <a:ln w="9525" cap="flat" cmpd="sng">
                            <a:solidFill>
                              <a:srgbClr val="000000"/>
                            </a:solidFill>
                            <a:prstDash val="solid"/>
                            <a:headEnd type="none" w="med" len="med"/>
                            <a:tailEnd type="triangle" w="med" len="med"/>
                          </a:ln>
                        </wps:spPr>
                        <wps:bodyPr upright="1"/>
                      </wps:wsp>
                      <wps:wsp>
                        <wps:cNvPr id="26" name="直接连接符 26"/>
                        <wps:cNvCnPr/>
                        <wps:spPr>
                          <a:xfrm>
                            <a:off x="2400300" y="891540"/>
                            <a:ext cx="635" cy="296545"/>
                          </a:xfrm>
                          <a:prstGeom prst="line">
                            <a:avLst/>
                          </a:prstGeom>
                          <a:ln w="9525" cap="flat" cmpd="sng">
                            <a:solidFill>
                              <a:srgbClr val="000000"/>
                            </a:solidFill>
                            <a:prstDash val="solid"/>
                            <a:headEnd type="none" w="med" len="med"/>
                            <a:tailEnd type="triangle" w="med" len="med"/>
                          </a:ln>
                        </wps:spPr>
                        <wps:bodyPr upright="1"/>
                      </wps:wsp>
                      <wps:wsp>
                        <wps:cNvPr id="27" name="直接连接符 27"/>
                        <wps:cNvCnPr/>
                        <wps:spPr>
                          <a:xfrm>
                            <a:off x="2400300" y="1485900"/>
                            <a:ext cx="635" cy="297180"/>
                          </a:xfrm>
                          <a:prstGeom prst="line">
                            <a:avLst/>
                          </a:prstGeom>
                          <a:ln w="9525" cap="flat" cmpd="sng">
                            <a:solidFill>
                              <a:srgbClr val="000000"/>
                            </a:solidFill>
                            <a:prstDash val="solid"/>
                            <a:headEnd type="none" w="med" len="med"/>
                            <a:tailEnd type="triangle" w="med" len="med"/>
                          </a:ln>
                        </wps:spPr>
                        <wps:bodyPr upright="1"/>
                      </wps:wsp>
                      <wps:wsp>
                        <wps:cNvPr id="28" name="直接连接符 28"/>
                        <wps:cNvCnPr/>
                        <wps:spPr>
                          <a:xfrm>
                            <a:off x="2400300" y="2080260"/>
                            <a:ext cx="635" cy="297180"/>
                          </a:xfrm>
                          <a:prstGeom prst="line">
                            <a:avLst/>
                          </a:prstGeom>
                          <a:ln w="9525" cap="flat" cmpd="sng">
                            <a:solidFill>
                              <a:srgbClr val="000000"/>
                            </a:solidFill>
                            <a:prstDash val="solid"/>
                            <a:headEnd type="none" w="med" len="med"/>
                            <a:tailEnd type="triangle" w="med" len="med"/>
                          </a:ln>
                        </wps:spPr>
                        <wps:bodyPr upright="1"/>
                      </wps:wsp>
                      <wps:wsp>
                        <wps:cNvPr id="29" name="直接连接符 29"/>
                        <wps:cNvCnPr/>
                        <wps:spPr>
                          <a:xfrm>
                            <a:off x="2400300" y="2674620"/>
                            <a:ext cx="635" cy="296545"/>
                          </a:xfrm>
                          <a:prstGeom prst="line">
                            <a:avLst/>
                          </a:prstGeom>
                          <a:ln w="9525" cap="flat" cmpd="sng">
                            <a:solidFill>
                              <a:srgbClr val="000000"/>
                            </a:solidFill>
                            <a:prstDash val="solid"/>
                            <a:headEnd type="none" w="med" len="med"/>
                            <a:tailEnd type="triangle" w="med" len="med"/>
                          </a:ln>
                        </wps:spPr>
                        <wps:bodyPr upright="1"/>
                      </wps:wsp>
                      <wps:wsp>
                        <wps:cNvPr id="30" name="直接连接符 30"/>
                        <wps:cNvCnPr/>
                        <wps:spPr>
                          <a:xfrm>
                            <a:off x="2400300" y="3268980"/>
                            <a:ext cx="635" cy="297180"/>
                          </a:xfrm>
                          <a:prstGeom prst="line">
                            <a:avLst/>
                          </a:prstGeom>
                          <a:ln w="9525" cap="flat" cmpd="sng">
                            <a:solidFill>
                              <a:srgbClr val="000000"/>
                            </a:solidFill>
                            <a:prstDash val="solid"/>
                            <a:headEnd type="none" w="med" len="med"/>
                            <a:tailEnd type="triangle" w="med" len="med"/>
                          </a:ln>
                        </wps:spPr>
                        <wps:bodyPr upright="1"/>
                      </wps:wsp>
                      <wps:wsp>
                        <wps:cNvPr id="31" name="直接连接符 31"/>
                        <wps:cNvCnPr/>
                        <wps:spPr>
                          <a:xfrm>
                            <a:off x="2400300" y="3863340"/>
                            <a:ext cx="635" cy="297180"/>
                          </a:xfrm>
                          <a:prstGeom prst="line">
                            <a:avLst/>
                          </a:prstGeom>
                          <a:ln w="9525" cap="flat" cmpd="sng">
                            <a:solidFill>
                              <a:srgbClr val="000000"/>
                            </a:solidFill>
                            <a:prstDash val="solid"/>
                            <a:headEnd type="none" w="med" len="med"/>
                            <a:tailEnd type="triangle" w="med" len="med"/>
                          </a:ln>
                        </wps:spPr>
                        <wps:bodyPr upright="1"/>
                      </wps:wsp>
                    </wpc:wpc>
                  </a:graphicData>
                </a:graphic>
              </wp:inline>
            </w:drawing>
          </mc:Choice>
          <mc:Fallback>
            <w:pict>
              <v:group id="_x0000_s1026" o:spid="_x0000_s1026" o:spt="203" style="height:358.8pt;width:405pt;" coordsize="5143500,4556760" editas="canvas" o:gfxdata="UEsDBAoAAAAAAIdO4kAAAAAAAAAAAAAAAAAEAAAAZHJzL1BLAwQUAAAACACHTuJAQ28X1NYAAAAF&#10;AQAADwAAAGRycy9kb3ducmV2LnhtbE2PQWvCQBCF7wX/wzJCL6XupgeVNBsPgiilII2t5zU7TUKz&#10;szG7Jvbfd9pLvTx4vOG9b7LV1bViwD40njQkMwUCqfS2oUrD+2HzuAQRoiFrWk+o4RsDrPLJXWZS&#10;60d6w6GIleASCqnRUMfYpVKGskZnwsx3SJx9+t6ZyLavpO3NyOWulU9KzaUzDfFCbTpc11h+FRen&#10;YSz3w/HwupX7h+PO03l3XhcfL1rfTxP1DCLiNf4fwy8+o0POTCd/IRtEq4EfiX/K2TJRbE8aFsli&#10;DjLP5C19/gNQSwMEFAAAAAgAh07iQOUn9wpZBAAANyUAAA4AAABkcnMvZTJvRG9jLnhtbO2aTW/b&#10;NhjH7wP2HQjdF+tdshCnh6TJZdgCdP0AjES9AJIokEzsHIcddhiw024Fdtuww44dMGDA+mna9GPs&#10;ISXLivySWMXWrJYPNiWRFPnXTw/Jv3n8bFHk6IYwntFyphlHuoZIGdIoK5OZ9vKb8y98DXGBywjn&#10;tCQz7ZZw7dnJ558dz6uAmDSleUQYgkpKHsyrmZYKUQWTCQ9TUmB+RCtSwsWYsgILOGTJJGJ4DrUX&#10;+cTUdXcypyyqGA0J53D2rL6oNTWyx1RI4zgLyRkNrwtSirpWRnIsoEs8zSqunajWxjEJxddxzIlA&#10;+UyDngr1DTeB9JX8npwc4yBhuEqzsGkCfkwTen0qcFbCTduqzrDA6Jpla1UVWcgop7E4CmkxqTui&#10;FIFeGHpPmwtGryvVlySYJ1UrOjyonuqDqw2/urlkKItmmmVqqMQFPPG7n/56++d3CE6AOvMqCSDT&#10;BateVJesOZHUR7LDi5gV8he6ghZK19tWV7IQKISTjmFbjg6Sh3DNdhzXcxvlwxQez1q5MH3+QMnJ&#10;8sYT2b62OfMKmOQrofiHCfUixRVR+nOpQSOU4S2FevfHt3e//fD21d8Bev/me0giuKYkUvlbwXjA&#10;QbsNahmWZ7hSGNDFnHqGD2lF5FI50/AMb6mcOfVtR2Vou4+DinFxQWiBZGKmxTmdn6aYicv6DVNQ&#10;4psvuYB6odgyu2wMp3kWnWd5rg5YcnWaM3SD4U05Vx/ZFChyL1teovlMmzqmA08Tw+sfw2sHyaIC&#10;hHiZqPvdK8G7Fevqs6li2bAzzNO6AaqGWooiE4QpUVKCo+dlhMRtBZSWEJ002ZiCRBrKCQQzmVI5&#10;Bc7yx+SE3uUldFJyUz8imRKLqwVUI5NXNLqFx35dsSxJQV5DNb3BrM7y7/MGAbl+MTfw5ssGyfYA&#10;n/vxZjmuC/DVgm3hTRKperx83VYAjbx9srxNd/A2HcybDbA55jpvpmXJWNJGwJG3A4tvwMTW+Fbz&#10;Mii+mZbn2fY6b93x1HVsZ+Tt0HgzdvCmBvhBvBmeb+n1cImDznjajW8jb4+ZleHgk5q/me3Can3+&#10;BteGzt8Mw/e9DeNpN76N64VD5M3aEd+swbw5U9t6aLngG+NwemjLU9PegZs9GLfdEzdvJO3wjBDp&#10;OTUO5avX73785f2bn+H77vdfEVxZDaOnZeNTLj2dlXnRmJSmrevWPdtNFl/N2tx9VqR5Bj6ULL3F&#10;ZfvvHbOhPplgGS6TfIurttkrewoGmelu5cIdzIU/NZz+6rHDxcMz+ZGLj22cmq1Rf9ePF12bfr94&#10;Ydi+M+3b9B0wHrZMRzA+Ohito74GRtdP3w8MExb/Zn+CPIKx4f+ZJzyStNb3Ghhd43tPMFzPdvsL&#10;9Q4Y41Cy/OPu6YJhtR51Hwy4MnTqaZmuP+07hh0wxqHkfwBGayavgdG1kveLGJbvWtaOyecIxgeB&#10;ofaMwH4atbuh2fsjN+x0j9WmgNV+p5N/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gGAABbQ29udGVudF9UeXBlc10ueG1sUEsBAhQACgAAAAAA&#10;h07iQAAAAAAAAAAAAAAAAAYAAAAAAAAAAAAQAAAAqgUAAF9yZWxzL1BLAQIUABQAAAAIAIdO4kCK&#10;FGY80QAAAJQBAAALAAAAAAAAAAEAIAAAAM4FAABfcmVscy8ucmVsc1BLAQIUAAoAAAAAAIdO4kAA&#10;AAAAAAAAAAAAAAAEAAAAAAAAAAAAEAAAAAAAAABkcnMvUEsBAhQAFAAAAAgAh07iQENvF9TWAAAA&#10;BQEAAA8AAAAAAAAAAQAgAAAAIgAAAGRycy9kb3ducmV2LnhtbFBLAQIUABQAAAAIAIdO4kDlJ/cK&#10;WQQAADclAAAOAAAAAAAAAAEAIAAAACUBAABkcnMvZTJvRG9jLnhtbFBLBQYAAAAABgAGAFkBAADw&#10;BwAAAAA=&#10;">
                <o:lock v:ext="edit" aspectratio="f"/>
                <v:shape id="_x0000_s1026" o:spid="_x0000_s1026" style="position:absolute;left:0;top:0;height:4556760;width:5143500;" filled="f" stroked="f" coordsize="21600,21600" o:gfxdata="UEsDBAoAAAAAAIdO4kAAAAAAAAAAAAAAAAAEAAAAZHJzL1BLAwQUAAAACACHTuJAQ28X1NYAAAAF&#10;AQAADwAAAGRycy9kb3ducmV2LnhtbE2PQWvCQBCF7wX/wzJCL6XupgeVNBsPgiilII2t5zU7TUKz&#10;szG7Jvbfd9pLvTx4vOG9b7LV1bViwD40njQkMwUCqfS2oUrD+2HzuAQRoiFrWk+o4RsDrPLJXWZS&#10;60d6w6GIleASCqnRUMfYpVKGskZnwsx3SJx9+t6ZyLavpO3NyOWulU9KzaUzDfFCbTpc11h+FRen&#10;YSz3w/HwupX7h+PO03l3XhcfL1rfTxP1DCLiNf4fwy8+o0POTCd/IRtEq4EfiX/K2TJRbE8aFsli&#10;DjLP5C19/gNQSwMEFAAAAAgAh07iQMB77MgQBAAAsiQAAA4AAABkcnMvZTJvRG9jLnhtbO2az2/b&#10;NhTH7wP2PxC6L5Konxbi9JA0vQxbgG5/AC1RlgCJFEjGdo477TBg/0CB3Vb00ON6bf+aNf0z9kg5&#10;jmLHTqxuazbLB5kyn54fnz5+JL/W8bNFXaEZFbLkbGy5R46FKEt5VrLp2Prxh/NvYgtJRVhGKs7o&#10;2Lqi0np28vVXx/MmoZgXvMqoQOCEyWTejK1CqSaxbZkWtCbyiDeUQWfORU0UnIqpnQkyB+91ZWPH&#10;Ce05F1kjeEqlhE/P2k5r6VE8xiHP8zKlZzy9rClTrVdBK6JgSLIoG2mdmGjznKbq+zyXVKFqbMFI&#10;lTnCl0B7oo/2yTFJpoI0RZkuQyCPCWFtTDUpGXzpytUZUQRdinLDVV2mgkueq6OU13Y7EJMRGIXr&#10;rOXmlLAZaQeTQq5vAoTW3+h3MtVxM35eVhVkwwbvif5Mv8/hblPdXbG7Ru0nxnZpM28AB9mswJCf&#10;F+LLgjTU3EaZpN/NLgQqM6A1shAjNVD58d1P129++fPV+wR9+vAzNBH0Qfg6DLB/2VyI5ZmEpg5+&#10;kYtav0PO0QJceZEbOoDB1djCo8iNoW1goAuFUjDAbuRG2iA1FrEfGAP71lMjpHpBeY10Y2zlFZ+f&#10;FkSoixZuwwOZfSuVTitJbsx1EJJXZaYzbk7EdHJaCTQjAOm5eelQ4JI7ZhVD87E1CnAAMRH45eVA&#10;PDTrBjIj2dR8350rZNexY173OdaBnRFZtAEYD20q6lJRYZJSUJI9ZxlSVw0kn0FhsHQwNc0sVFGo&#10;I7plLBUpq8dYwug0VICQTNpbpFtqMVmAG92c8OwKbvtlI8ppAel1Tei6BzBrTf553qAWbuUt1gHp&#10;ePbmzQvCEOBrE7aFN02kGfHA2wHxNtrB26g3bz7AFuBN3rDn6VqyqoADbwdW34CJrfWt5aVXfcNe&#10;FPn+Jm/d+TQM/GDg7dB4c3fwZib4Xry5Uew57XRJks582q1vA2+PWZWR5H+1fsN4B2+493zqunEc&#10;3TOfduvbsF84RN68Hbx5vXkLRr730HYhdofp9NC2p9jfgZvfG7fdC7doIO3whBCtObVCyPWrPz7+&#10;+vunD7/B8frtawQ9tzLIKXtIdsO+43h3ZDd9+e2qLdxnR1qVoEPpq7eobP++YtZXJ1OiJGxabVHV&#10;7tfKnoJAhsOtXIS9uYhHbrC+e+xw8fBKfuDiSwuneCXUb9SLrky/X71w/TgYrcv0HTAelkwHML44&#10;GCtFfQOMrp6+HxgYNv94fYE8gHHP/zNPeCZZSd8bYHSF7z3BCCM/XN+od8AYppKbP+6eLhjeSqNe&#10;BwN6+i49PRzGo3XFsAPGMJX8B8BYickbYHSl5P0qhheHnrdj8TmA8VlgtE+MNKl5umH52I1+VqZ7&#10;bh4KuH3U6OQ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wYAAFtDb250ZW50X1R5cGVzXS54bWxQSwECFAAKAAAAAACHTuJAAAAAAAAAAAAAAAAA&#10;BgAAAAAAAAAAABAAAABhBQAAX3JlbHMvUEsBAhQAFAAAAAgAh07iQIoUZjzRAAAAlAEAAAsAAAAA&#10;AAAAAQAgAAAAhQUAAF9yZWxzLy5yZWxzUEsBAhQACgAAAAAAh07iQAAAAAAAAAAAAAAAAAQAAAAA&#10;AAAAAAAQAAAAAAAAAGRycy9QSwECFAAUAAAACACHTuJAQ28X1NYAAAAFAQAADwAAAAAAAAABACAA&#10;AAAiAAAAZHJzL2Rvd25yZXYueG1sUEsBAhQAFAAAAAgAh07iQMB77MgQBAAAsiQAAA4AAAAAAAAA&#10;AQAgAAAAJQEAAGRycy9lMm9Eb2MueG1sUEsFBgAAAAAGAAYAWQEAAKcHAAAAAA==&#10;">
                  <v:fill on="f" focussize="0,0"/>
                  <v:stroke on="f"/>
                  <v:imagedata o:title=""/>
                  <o:lock v:ext="edit" aspectratio="t"/>
                </v:shape>
                <v:shape id="_x0000_s1026" o:spid="_x0000_s1026" o:spt="109" type="#_x0000_t109" style="position:absolute;left:1371600;top:2971800;height:298450;width:2171700;" fillcolor="#FFFFFF" filled="t" stroked="t" coordsize="21600,21600" o:gfxdata="UEsDBAoAAAAAAIdO4kAAAAAAAAAAAAAAAAAEAAAAZHJzL1BLAwQUAAAACACHTuJAWyWP1dYAAAAF&#10;AQAADwAAAGRycy9kb3ducmV2LnhtbE2PMU/DMBCFdyT+g3VILBV1XKCNQpwOSEF0YGhg6ebE1yQi&#10;Pkexm5Z/z8ECy5Oe3um97/LtxQ1ixin0njSoZQICqfG2p1bDx3t5l4II0ZA1gyfU8IUBtsX1VW4y&#10;68+0x7mKreASCpnR0MU4ZlKGpkNnwtKPSJwd/eRMZDu10k7mzOVukKskWUtneuKFzoz43GHzWZ2c&#10;hlW6qF7orXx9qHe2NI/qMC/ud1rf3qjkCUTES/w7hh98RoeCmWp/IhvEoIEfib/KWaoStrWGjdqs&#10;QRa5/E9ffANQSwMEFAAAAAgAh07iQIUf1p4jAgAATgQAAA4AAABkcnMvZTJvRG9jLnhtbK1US5LT&#10;MBTcU8UdVNoT24FMMq44s5gQNhRM1cABFH1sVelXkhI7S1YsOAIX4AJsmdPwOQZPcpgfLLLAC+cp&#10;arW6W09eXgxaoT33QVrT4GpSYsQNtUyatsHv322eLTAKkRhGlDW8wQce8MXq6ZNl72o+tZ1VjHsE&#10;JCbUvWtwF6OriyLQjmsSJtZxA5PCek0iDH1bME96YNeqmJblWdFbz5y3lIcA/67HSXxk9KcQWiEk&#10;5WtLd5qbOLJ6rkgES6GTLuBVVisEp/GtEIFHpBoMTmN+wyZQb9O7WC1J3XriOkmPEsgpEh550kQa&#10;2PSWak0iQTsv/6LSknobrIgTanUxGsmJgIuqfJTNdUccz14g6uBuQw//j5a+2V95JBl0whwjQzSc&#10;+I+vH35++fT987ca/br5CCWCOQiqd6EG/LW78sdRgDK5HoTX6Rf8oAGons+rsxIiPjR4ej6vFlDn&#10;oPkQEQXAtJpX8wSgGbF4McuA4o7J+RBfcatRKhoslO0vO+Lj1dg4OWuyfx0i8MKyP/AkIlgl2UYq&#10;lQe+3V4qj/YEGmCTnyQFljyAKYP6Bp/PpjPQRKCrBXQTlNpBMsG0eb8HK8J94jI//yJOwtYkdKOA&#10;zDBGoWXkPofSccJeGobiwUH4Bi4dTmI0ZxgpDnc0VRkZiVSnIMGdMmAyHdh4RKmKw3YAmlRuLTvA&#10;se+cl20H8VZZepqBNsvpHK9E6uP740x69xlY/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bJY/V&#10;1gAAAAUBAAAPAAAAAAAAAAEAIAAAACIAAABkcnMvZG93bnJldi54bWxQSwECFAAUAAAACACHTuJA&#10;hR/WniMCAABOBAAADgAAAAAAAAABACAAAAAlAQAAZHJzL2Uyb0RvYy54bWxQSwUGAAAAAAYABgBZ&#10;AQAAugUAAAAA&#10;">
                  <v:fill on="t" focussize="0,0"/>
                  <v:stroke color="#000000" joinstyle="miter"/>
                  <v:imagedata o:title=""/>
                  <o:lock v:ext="edit" aspectratio="f"/>
                  <v:textbox>
                    <w:txbxContent>
                      <w:p w14:paraId="42B80E46">
                        <w:pPr>
                          <w:adjustRightInd/>
                          <w:snapToGrid/>
                          <w:spacing w:line="240" w:lineRule="auto"/>
                          <w:ind w:firstLine="420" w:firstLineChars="200"/>
                          <w:rPr>
                            <w:rFonts w:hint="eastAsia" w:ascii="Times New Roman" w:hAnsi="Times New Roman" w:eastAsia="宋体" w:cs="Times New Roman"/>
                            <w:sz w:val="21"/>
                          </w:rPr>
                        </w:pPr>
                        <w:r>
                          <w:rPr>
                            <w:rFonts w:hint="eastAsia" w:ascii="Times New Roman" w:hAnsi="Times New Roman" w:eastAsia="宋体" w:cs="Times New Roman"/>
                            <w:sz w:val="21"/>
                          </w:rPr>
                          <w:t>提出安全对策措施建议</w:t>
                        </w:r>
                      </w:p>
                    </w:txbxContent>
                  </v:textbox>
                </v:shape>
                <v:shape id="_x0000_s1026" o:spid="_x0000_s1026" o:spt="109" type="#_x0000_t109" style="position:absolute;left:1371600;top:3566160;height:297180;width:2171700;" fillcolor="#FFFFFF" filled="t" stroked="t" coordsize="21600,21600" o:gfxdata="UEsDBAoAAAAAAIdO4kAAAAAAAAAAAAAAAAAEAAAAZHJzL1BLAwQUAAAACACHTuJAWyWP1dYAAAAF&#10;AQAADwAAAGRycy9kb3ducmV2LnhtbE2PMU/DMBCFdyT+g3VILBV1XKCNQpwOSEF0YGhg6ebE1yQi&#10;Pkexm5Z/z8ECy5Oe3um97/LtxQ1ixin0njSoZQICqfG2p1bDx3t5l4II0ZA1gyfU8IUBtsX1VW4y&#10;68+0x7mKreASCpnR0MU4ZlKGpkNnwtKPSJwd/eRMZDu10k7mzOVukKskWUtneuKFzoz43GHzWZ2c&#10;hlW6qF7orXx9qHe2NI/qMC/ud1rf3qjkCUTES/w7hh98RoeCmWp/IhvEoIEfib/KWaoStrWGjdqs&#10;QRa5/E9ffANQSwMEFAAAAAgAh07iQDI6zSwlAgAATgQAAA4AAABkcnMvZTJvRG9jLnhtbK1US5LT&#10;MBDdU8UdVNoT25lKMuOKM4sJYUPBVA0cQNHHVpV+JSmxs2TFgiNwAS7AFk4zwDFoyWF+sMgCL5zu&#10;qPX03uuWl5eDVmjPfZDWNLialBhxQy2Tpm3w+3ebF+cYhUgMI8oa3uADD/hy9fzZsnc1n9rOKsY9&#10;AhAT6t41uIvR1UURaMc1CRPruIFFYb0mEVLfFsyTHtC1KqZlOS9665nzlvIQ4N/1uIiPiP4UQCuE&#10;pHxt6U5zE0dUzxWJICl00gW8ymyF4DS+FSLwiFSDQWnMbzgE4m16F6slqVtPXCfpkQI5hcITTZpI&#10;A4feQa1JJGjn5V9QWlJvgxVxQq0uRiHZEVBRlU+8uemI41kLWB3cnenh/8HSN/trjySDSYC+G6Kh&#10;4z++fvj55dPt5281+vX9I4QI1sCo3oUa6m/ctT9mAcKkehBep1/QgwaAOltU8xIsPjT4bDafQzIa&#10;zYeIKBRMq0W1SAUUKqYXi+o8FxT3SM6H+IpbjVLQYKFsf9URH6/Hwclek/3rEIEJbPtTnkgEqyTb&#10;SKVy4tvtlfJoT2AANvlJVGDLozJlUN/gi9l0BpwITLWAaYJQO3AmmDaf92hHeAhc5udfwInYmoRu&#10;JJARRiu0jNwDE1J3nLCXhqF4cGC+gUuHExnNGUaKwx1NUa6MRKpTKkGdMiAyNWxsUYrisB0AJoVb&#10;yw7Q9p3zsu3A3ipTTyswZtmd45VIc/wwz6D3n4H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Fsl&#10;j9XWAAAABQEAAA8AAAAAAAAAAQAgAAAAIgAAAGRycy9kb3ducmV2LnhtbFBLAQIUABQAAAAIAIdO&#10;4kAyOs0sJQIAAE4EAAAOAAAAAAAAAAEAIAAAACUBAABkcnMvZTJvRG9jLnhtbFBLBQYAAAAABgAG&#10;AFkBAAC8BQAAAAA=&#10;">
                  <v:fill on="t" focussize="0,0"/>
                  <v:stroke color="#000000" joinstyle="miter"/>
                  <v:imagedata o:title=""/>
                  <o:lock v:ext="edit" aspectratio="f"/>
                  <v:textbox>
                    <w:txbxContent>
                      <w:p w14:paraId="27DAC272">
                        <w:pPr>
                          <w:adjustRightInd/>
                          <w:snapToGrid/>
                          <w:spacing w:line="240" w:lineRule="auto"/>
                          <w:ind w:firstLine="840" w:firstLineChars="400"/>
                          <w:rPr>
                            <w:rFonts w:hint="eastAsia" w:ascii="Times New Roman" w:hAnsi="Times New Roman" w:eastAsia="宋体" w:cs="Times New Roman"/>
                            <w:sz w:val="21"/>
                          </w:rPr>
                        </w:pPr>
                        <w:r>
                          <w:rPr>
                            <w:rFonts w:hint="eastAsia" w:ascii="Times New Roman" w:hAnsi="Times New Roman" w:eastAsia="宋体" w:cs="Times New Roman"/>
                            <w:sz w:val="21"/>
                          </w:rPr>
                          <w:t>做出评价结论</w:t>
                        </w:r>
                      </w:p>
                    </w:txbxContent>
                  </v:textbox>
                </v:shape>
                <v:shape id="_x0000_s1026" o:spid="_x0000_s1026" o:spt="109" type="#_x0000_t109" style="position:absolute;left:1371600;top:4160520;height:297180;width:2172335;" fillcolor="#FFFFFF" filled="t" stroked="t" coordsize="21600,21600" o:gfxdata="UEsDBAoAAAAAAIdO4kAAAAAAAAAAAAAAAAAEAAAAZHJzL1BLAwQUAAAACACHTuJAWyWP1dYAAAAF&#10;AQAADwAAAGRycy9kb3ducmV2LnhtbE2PMU/DMBCFdyT+g3VILBV1XKCNQpwOSEF0YGhg6ebE1yQi&#10;Pkexm5Z/z8ECy5Oe3um97/LtxQ1ixin0njSoZQICqfG2p1bDx3t5l4II0ZA1gyfU8IUBtsX1VW4y&#10;68+0x7mKreASCpnR0MU4ZlKGpkNnwtKPSJwd/eRMZDu10k7mzOVukKskWUtneuKFzoz43GHzWZ2c&#10;hlW6qF7orXx9qHe2NI/qMC/ud1rf3qjkCUTES/w7hh98RoeCmWp/IhvEoIEfib/KWaoStrWGjdqs&#10;QRa5/E9ffANQSwMEFAAAAAgAh07iQBev9wUlAgAATgQAAA4AAABkcnMvZTJvRG9jLnhtbK1US5LT&#10;MBTcU8UdVNoTf0ImE1ecWUwIGwpSNXAARZJtVelXkhI7S1YsOAIX4AJs4TR8jsGTHOYHiyzwwnmK&#10;Wq3u1pOXV4OS6MCdF0bXuJjkGHFNDRO6rfG7t5tnlxj5QDQj0mhe4yP3+Gr19MmytxUvTWck4w4B&#10;ifZVb2vchWCrLPO044r4ibFcw2RjnCIBhq7NmCM9sCuZlXl+kfXGMesM5d7Dv+txEp8Y3TmEpmkE&#10;5WtD94rrMLI6LkkAS74T1uNVUts0nIY3TeN5QLLG4DSkN2wC9S6+s9WSVK0jthP0JIGcI+GRJ0WE&#10;hk1vqdYkELR34i8qJagz3jRhQo3KRiMpEXBR5I+yuemI5ckLRO3tbej+/9HS14etQ4JBJyww0kTB&#10;if/48v7n54/fP32t0K9vH6BEMAdB9dZXgL+xW3caeSij66FxKv6CHzQA1XReXOQQ8bHGz6Galaeg&#10;+RAQBUBZzMvpdIYRBUS5mBeXCZDdMVnnw0tuFIpFjRtp+uuOuLAdGydlTQ6vfAAlsOwPPIrwRgq2&#10;EVKmgWt319KhA4EG2KQnWoElD2BSo77Gi1kZNRHo6ga6CUplIRmv27TfgxX+PnGenn8RR2Fr4rtR&#10;QGKIMFIpEXiMkVQdJ+yFZigcLYSv4dLhKEZxhpHkcEdjlZCBCHkOEtxJDSbjgY1HFKsw7AagieXO&#10;sCMc+9460XYQb5Gkxxlos5TO6UrEPr4/TqR3n4H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Fsl&#10;j9XWAAAABQEAAA8AAAAAAAAAAQAgAAAAIgAAAGRycy9kb3ducmV2LnhtbFBLAQIUABQAAAAIAIdO&#10;4kAXr/cFJQIAAE4EAAAOAAAAAAAAAAEAIAAAACUBAABkcnMvZTJvRG9jLnhtbFBLBQYAAAAABgAG&#10;AFkBAAC8BQAAAAA=&#10;">
                  <v:fill on="t" focussize="0,0"/>
                  <v:stroke color="#000000" joinstyle="miter"/>
                  <v:imagedata o:title=""/>
                  <o:lock v:ext="edit" aspectratio="f"/>
                  <v:textbox>
                    <w:txbxContent>
                      <w:p w14:paraId="1F9551F5">
                        <w:pPr>
                          <w:adjustRightInd/>
                          <w:snapToGrid/>
                          <w:spacing w:line="240" w:lineRule="auto"/>
                          <w:ind w:firstLine="630" w:firstLineChars="300"/>
                          <w:rPr>
                            <w:rFonts w:hint="eastAsia" w:ascii="Times New Roman" w:hAnsi="Times New Roman" w:eastAsia="宋体" w:cs="Times New Roman"/>
                            <w:sz w:val="21"/>
                          </w:rPr>
                        </w:pPr>
                        <w:r>
                          <w:rPr>
                            <w:rFonts w:hint="eastAsia" w:ascii="Times New Roman" w:hAnsi="Times New Roman" w:eastAsia="宋体" w:cs="Times New Roman"/>
                            <w:sz w:val="21"/>
                          </w:rPr>
                          <w:t>编制安全</w:t>
                        </w:r>
                        <w:r>
                          <w:rPr>
                            <w:rFonts w:hint="eastAsia" w:ascii="Times New Roman" w:hAnsi="Times New Roman" w:eastAsia="宋体" w:cs="Times New Roman"/>
                            <w:sz w:val="21"/>
                            <w:lang w:val="en-US" w:eastAsia="zh-CN"/>
                          </w:rPr>
                          <w:t>现状</w:t>
                        </w:r>
                        <w:r>
                          <w:rPr>
                            <w:rFonts w:hint="eastAsia" w:ascii="Times New Roman" w:hAnsi="Times New Roman" w:eastAsia="宋体" w:cs="Times New Roman"/>
                            <w:sz w:val="21"/>
                          </w:rPr>
                          <w:t>评价报告</w:t>
                        </w:r>
                      </w:p>
                      <w:p w14:paraId="08B2BAF9">
                        <w:pPr>
                          <w:adjustRightInd/>
                          <w:snapToGrid/>
                          <w:spacing w:line="240" w:lineRule="auto"/>
                          <w:ind w:firstLine="630" w:firstLineChars="300"/>
                          <w:rPr>
                            <w:rFonts w:hint="eastAsia" w:ascii="Times New Roman" w:hAnsi="Times New Roman" w:eastAsia="宋体" w:cs="Times New Roman"/>
                            <w:sz w:val="21"/>
                          </w:rPr>
                        </w:pPr>
                      </w:p>
                    </w:txbxContent>
                  </v:textbox>
                </v:shape>
                <v:shape id="_x0000_s1026" o:spid="_x0000_s1026" o:spt="109" type="#_x0000_t109" style="position:absolute;left:1371600;top:2377440;height:296545;width:2171700;" fillcolor="#FFFFFF" filled="t" stroked="t" coordsize="21600,21600" o:gfxdata="UEsDBAoAAAAAAIdO4kAAAAAAAAAAAAAAAAAEAAAAZHJzL1BLAwQUAAAACACHTuJAWyWP1dYAAAAF&#10;AQAADwAAAGRycy9kb3ducmV2LnhtbE2PMU/DMBCFdyT+g3VILBV1XKCNQpwOSEF0YGhg6ebE1yQi&#10;Pkexm5Z/z8ECy5Oe3um97/LtxQ1ixin0njSoZQICqfG2p1bDx3t5l4II0ZA1gyfU8IUBtsX1VW4y&#10;68+0x7mKreASCpnR0MU4ZlKGpkNnwtKPSJwd/eRMZDu10k7mzOVukKskWUtneuKFzoz43GHzWZ2c&#10;hlW6qF7orXx9qHe2NI/qMC/ud1rf3qjkCUTES/w7hh98RoeCmWp/IhvEoIEfib/KWaoStrWGjdqs&#10;QRa5/E9ffANQSwMEFAAAAAgAh07iQF0YFSAjAgAATgQAAA4AAABkcnMvZTJvRG9jLnhtbK1US5LT&#10;MBDdU8UdVNoT25l8GFecWUwIGwpSNXAARZJtVelXkhI7S1YsOAIX4AJs4TR8jkFLNvODRRZ4YT9Z&#10;7devX7e8uuqVREfuvDC6wsUkx4hrapjQTYXfvd0+e46RD0QzIo3mFT5xj6/WT5+sOlvyqWmNZNwh&#10;ING+7GyF2xBsmWWetlwRPzGWa9isjVMkwNI1GXOkA3Yls2meL7LOOGadodx7eLsZNvHI6M4hNHUt&#10;KN8YelBch4HVcUkClORbYT1eJ7V1zWl4U9eeByQrDJWGdIckgPfxnq1XpGwcsa2gowRyjoRHNSki&#10;NCS9pdqQQNDBib+olKDOeFOHCTUqGwpJjkAVRf7Im5uWWJ5qAau9vTXd/z9a+vq4c0iwCk/BEk0U&#10;dPzHl/c/P3/8/ulriX59+wAQwR4Y1VlfQvyN3blx5QHGqvvaqfiEelAPQ3WxLBY58J2A9mK5nM1G&#10;o3kfEIWAabEsljGAxojLxXw2jwmyOybrfHjJjUIRVLiWprtuiQu7YXCS1+T4yofhsz/hUYQ3UrCt&#10;kDItXLO/lg4dCQzANl1jpgdhUqOuwpfz6Rw0EZjqGqYJoLLgjNdNyvfgC3+fOE/Xv4ijsA3x7SAg&#10;McQwUioRuEuo5YS90AyFkwXzNRw6HMUozjCSHM5oRCkyECHPiQQfpQY7Y8OGFkUU+n0PNBHuDTtB&#10;2w/WiaYFe4skPe7AmKU+jEcizvH9dSK9+w2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bJY/V&#10;1gAAAAUBAAAPAAAAAAAAAAEAIAAAACIAAABkcnMvZG93bnJldi54bWxQSwECFAAUAAAACACHTuJA&#10;XRgVICMCAABOBAAADgAAAAAAAAABACAAAAAlAQAAZHJzL2Uyb0RvYy54bWxQSwUGAAAAAAYABgBZ&#10;AQAAugUAAAAA&#10;">
                  <v:fill on="t" focussize="0,0"/>
                  <v:stroke color="#000000" joinstyle="miter"/>
                  <v:imagedata o:title=""/>
                  <o:lock v:ext="edit" aspectratio="f"/>
                  <v:textbox>
                    <w:txbxContent>
                      <w:p w14:paraId="232F23D6">
                        <w:pPr>
                          <w:adjustRightInd/>
                          <w:snapToGrid/>
                          <w:spacing w:line="240" w:lineRule="auto"/>
                          <w:ind w:firstLine="630" w:firstLineChars="300"/>
                          <w:rPr>
                            <w:rFonts w:hint="eastAsia" w:ascii="Times New Roman" w:hAnsi="Times New Roman" w:eastAsia="宋体" w:cs="Times New Roman"/>
                            <w:sz w:val="21"/>
                          </w:rPr>
                        </w:pPr>
                        <w:r>
                          <w:rPr>
                            <w:rFonts w:hint="eastAsia" w:ascii="Times New Roman" w:hAnsi="Times New Roman" w:eastAsia="宋体" w:cs="Times New Roman"/>
                            <w:sz w:val="21"/>
                          </w:rPr>
                          <w:t>定性、定量评价</w:t>
                        </w:r>
                      </w:p>
                    </w:txbxContent>
                  </v:textbox>
                </v:shape>
                <v:shape id="_x0000_s1026" o:spid="_x0000_s1026" o:spt="109" type="#_x0000_t109" style="position:absolute;left:1371600;top:1783080;height:296545;width:2172335;" fillcolor="#FFFFFF" filled="t" stroked="t" coordsize="21600,21600" o:gfxdata="UEsDBAoAAAAAAIdO4kAAAAAAAAAAAAAAAAAEAAAAZHJzL1BLAwQUAAAACACHTuJAWyWP1dYAAAAF&#10;AQAADwAAAGRycy9kb3ducmV2LnhtbE2PMU/DMBCFdyT+g3VILBV1XKCNQpwOSEF0YGhg6ebE1yQi&#10;Pkexm5Z/z8ECy5Oe3um97/LtxQ1ixin0njSoZQICqfG2p1bDx3t5l4II0ZA1gyfU8IUBtsX1VW4y&#10;68+0x7mKreASCpnR0MU4ZlKGpkNnwtKPSJwd/eRMZDu10k7mzOVukKskWUtneuKFzoz43GHzWZ2c&#10;hlW6qF7orXx9qHe2NI/qMC/ud1rf3qjkCUTES/w7hh98RoeCmWp/IhvEoIEfib/KWaoStrWGjdqs&#10;QRa5/E9ffANQSwMEFAAAAAgAh07iQBlCS2YjAgAATgQAAA4AAABkcnMvZTJvRG9jLnhtbK1US5LT&#10;MBDdU8UdVNoTOw75jCvOLCaEDQVTNXAARZJtVelXkhI7S1YsOAIX4AJs4TR8jkFLNvODRRZ4YT9Z&#10;z6+7X7e8vuyVREfuvDC6wtNJjhHX1DChmwq/e7t7tsLIB6IZkUbzCp+4x5ebp0/WnS15YVojGXcI&#10;RLQvO1vhNgRbZpmnLVfET4zlGjZr4xQJsHRNxhzpQF3JrMjzRdYZx6wzlHsPb7fDJh4V3TmCpq4F&#10;5VtDD4rrMKg6LkmAknwrrMeblG1dcxre1LXnAckKQ6Uh3SEI4H28Z5s1KRtHbCvomAI5J4VHNSki&#10;NAS9ldqSQNDBib+klKDOeFOHCTUqGwpJjkAV0/yRNzctsTzVAlZ7e2u6/3+y9PXx2iHBKlxMMdJE&#10;Qcd/fHn/8/PH75++lujXtw8AEeyBUZ31JfBv7LUbVx5grLqvnYpPqAf1MFSz5XSRg8UnwMvVLF+N&#10;RvM+IAqEYrosZrM5RhQYxcVi/nweA2R3Stb58JIbhSKocC1Nd9USF66HwUlek+MrH4bP/tBjEt5I&#10;wXZCyrRwzf5KOnQkMAC7dI2RHtCkRl2FL+ZFzInAVNcwTQCVBWe8blK8B1/4+8J5uv4lHBPbEt8O&#10;CSSFSCOlEoG7hFpO2AvNUDhZMF/DocMxGcUZRpLDGY0oMQMR8hwm+Cg12BkbNrQootDve5CJcG/Y&#10;Cdp+sE40Ldib2pvoMGapD+ORiHN8f51E734Dm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bJY/V&#10;1gAAAAUBAAAPAAAAAAAAAAEAIAAAACIAAABkcnMvZG93bnJldi54bWxQSwECFAAUAAAACACHTuJA&#10;GUJLZiMCAABOBAAADgAAAAAAAAABACAAAAAlAQAAZHJzL2Uyb0RvYy54bWxQSwUGAAAAAAYABgBZ&#10;AQAAugUAAAAA&#10;">
                  <v:fill on="t" focussize="0,0"/>
                  <v:stroke color="#000000" joinstyle="miter"/>
                  <v:imagedata o:title=""/>
                  <o:lock v:ext="edit" aspectratio="f"/>
                  <v:textbox>
                    <w:txbxContent>
                      <w:p w14:paraId="2328E45F">
                        <w:pPr>
                          <w:adjustRightInd/>
                          <w:snapToGrid/>
                          <w:spacing w:line="240" w:lineRule="auto"/>
                          <w:ind w:firstLine="735" w:firstLineChars="350"/>
                          <w:rPr>
                            <w:rFonts w:hint="eastAsia" w:ascii="Times New Roman" w:hAnsi="Times New Roman" w:eastAsia="宋体" w:cs="Times New Roman"/>
                            <w:sz w:val="21"/>
                          </w:rPr>
                        </w:pPr>
                        <w:r>
                          <w:rPr>
                            <w:rFonts w:hint="eastAsia" w:ascii="Times New Roman" w:hAnsi="Times New Roman" w:eastAsia="宋体" w:cs="Times New Roman"/>
                            <w:sz w:val="21"/>
                          </w:rPr>
                          <w:t>选择评价方法</w:t>
                        </w:r>
                      </w:p>
                    </w:txbxContent>
                  </v:textbox>
                </v:shape>
                <v:shape id="_x0000_s1026" o:spid="_x0000_s1026" o:spt="109" type="#_x0000_t109" style="position:absolute;left:1371600;top:1188720;height:298450;width:2171700;" fillcolor="#FFFFFF" filled="t" stroked="t" coordsize="21600,21600" o:gfxdata="UEsDBAoAAAAAAIdO4kAAAAAAAAAAAAAAAAAEAAAAZHJzL1BLAwQUAAAACACHTuJAWyWP1dYAAAAF&#10;AQAADwAAAGRycy9kb3ducmV2LnhtbE2PMU/DMBCFdyT+g3VILBV1XKCNQpwOSEF0YGhg6ebE1yQi&#10;Pkexm5Z/z8ECy5Oe3um97/LtxQ1ixin0njSoZQICqfG2p1bDx3t5l4II0ZA1gyfU8IUBtsX1VW4y&#10;68+0x7mKreASCpnR0MU4ZlKGpkNnwtKPSJwd/eRMZDu10k7mzOVukKskWUtneuKFzoz43GHzWZ2c&#10;hlW6qF7orXx9qHe2NI/qMC/ud1rf3qjkCUTES/w7hh98RoeCmWp/IhvEoIEfib/KWaoStrWGjdqs&#10;QRa5/E9ffANQSwMEFAAAAAgAh07iQMhT6GQmAgAATgQAAA4AAABkcnMvZTJvRG9jLnhtbK1US5LT&#10;MBTcU8UdVNoTfyCTjCvOLCaEDQVTNXCAF1m2VaVfSUqcLFmx4AhcgAuwZU7D5xg8yWF+sMgCL5yn&#10;qNXqbj15cbFXkuy488LomhaTnBKumWmE7mr6/t362ZwSH0A3II3mNT1wTy+WT58sBlvx0vRGNtwR&#10;JNG+GmxN+xBslWWe9VyBnxjLNU62xikIOHRd1jgYkF3JrMzzs2wwrrHOMO49/rsaJ+mR0Z1CaNpW&#10;ML4ybKu4DiOr4xICWvK9sJ4uk9q25Sy8bVvPA5E1RachvXETrDfxnS0XUHUObC/YUQKcIuGRJwVC&#10;46a3VCsIQLZO/EWlBHPGmzZMmFHZaCQlgi6K/FE21z1Ynrxg1N7ehu7/Hy17s7tyRDQ1LUtKNCg8&#10;8R9fP/z88un7528V+XXzEUuCcxjUYH2F+Gt75Y4jj2V0vW+dir/oh+yxqZ7PirMcIz5gXczns/IY&#10;NN8HwhBQFrNiFgEMEeX5/MU0AbI7Jut8eMWNIrGoaSvNcNmDC1dj46SsYffaB1SCy/7AowhvpGjW&#10;Qso0cN3mUjqyA2yAdXqiFVzyACY1GWp6Pi2nqAmwq1vsJiyVxWS87tJ+D1b4+8R5ev5FHIWtwPej&#10;gMQQYVApEXiMEaqeQ/NSNyQcLIav8dLRKEbxhhLJ8Y7GKiEDCHkKEt1JjSbjgY1HFKuw3+yRJpYb&#10;0xzw2LfWia7HeIskPc5gm6V0jlci9vH9cSK9+ww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b&#10;JY/V1gAAAAUBAAAPAAAAAAAAAAEAIAAAACIAAABkcnMvZG93bnJldi54bWxQSwECFAAUAAAACACH&#10;TuJAyFPoZCYCAABOBAAADgAAAAAAAAABACAAAAAlAQAAZHJzL2Uyb0RvYy54bWxQSwUGAAAAAAYA&#10;BgBZAQAAvQUAAAAA&#10;">
                  <v:fill on="t" focussize="0,0"/>
                  <v:stroke color="#000000" joinstyle="miter"/>
                  <v:imagedata o:title=""/>
                  <o:lock v:ext="edit" aspectratio="f"/>
                  <v:textbox>
                    <w:txbxContent>
                      <w:p w14:paraId="34F47036">
                        <w:pPr>
                          <w:adjustRightInd/>
                          <w:snapToGrid/>
                          <w:spacing w:line="240" w:lineRule="auto"/>
                          <w:ind w:firstLine="735" w:firstLineChars="350"/>
                          <w:rPr>
                            <w:rFonts w:hint="eastAsia" w:ascii="Times New Roman" w:hAnsi="Times New Roman" w:eastAsia="宋体" w:cs="Times New Roman"/>
                            <w:sz w:val="21"/>
                          </w:rPr>
                        </w:pPr>
                        <w:r>
                          <w:rPr>
                            <w:rFonts w:hint="eastAsia" w:ascii="Times New Roman" w:hAnsi="Times New Roman" w:eastAsia="宋体" w:cs="Times New Roman"/>
                            <w:sz w:val="21"/>
                          </w:rPr>
                          <w:t>划分评价单元</w:t>
                        </w:r>
                      </w:p>
                    </w:txbxContent>
                  </v:textbox>
                </v:shape>
                <v:shape id="_x0000_s1026" o:spid="_x0000_s1026" o:spt="109" type="#_x0000_t109" style="position:absolute;left:1371600;top:594360;height:297815;width:2171700;" fillcolor="#FFFFFF" filled="t" stroked="t" coordsize="21600,21600" o:gfxdata="UEsDBAoAAAAAAIdO4kAAAAAAAAAAAAAAAAAEAAAAZHJzL1BLAwQUAAAACACHTuJAWyWP1dYAAAAF&#10;AQAADwAAAGRycy9kb3ducmV2LnhtbE2PMU/DMBCFdyT+g3VILBV1XKCNQpwOSEF0YGhg6ebE1yQi&#10;Pkexm5Z/z8ECy5Oe3um97/LtxQ1ixin0njSoZQICqfG2p1bDx3t5l4II0ZA1gyfU8IUBtsX1VW4y&#10;68+0x7mKreASCpnR0MU4ZlKGpkNnwtKPSJwd/eRMZDu10k7mzOVukKskWUtneuKFzoz43GHzWZ2c&#10;hlW6qF7orXx9qHe2NI/qMC/ud1rf3qjkCUTES/w7hh98RoeCmWp/IhvEoIEfib/KWaoStrWGjdqs&#10;QRa5/E9ffANQSwMEFAAAAAgAh07iQEsQ5lQkAgAATQQAAA4AAABkcnMvZTJvRG9jLnhtbK1US5LT&#10;MBDdU8UdVNoTf0KSiSvOLCaEDQWpGuYAiizbqtKvJCV2lqxYcAQuwAXYwmn4HGNaspkfLLLAC/vJ&#10;3X56/brl1WUvBToy67hWJc4mKUZMUV1x1ZT45v32xQVGzhNVEaEVK/GJOXy5fv5s1ZmC5brVomIW&#10;AYlyRWdK3HpviiRxtGWSuIk2TEGw1lYSD0vbJJUlHbBLkeRpOk86bStjNWXOwdvNEMQjoz2HUNc1&#10;p2yj6UEy5QdWywTxUJJruXF4HdXWNaP+XV075pEoMVTq4x02AbwP92S9IkVjiWk5HSWQcyQ8qUkS&#10;rmDTO6oN8QQdLP+LSnJqtdO1n1Atk6GQ6AhUkaVPvLluiWGxFrDamTvT3f+jpW+PO4t4VeJ8ipEi&#10;Ejr+8+uHX18+/fj8rUC/v38EiCAGRnXGFZB/bXZ2XDmAoeq+tjI8oR7Uw1BNF9k8BYtPJZ4tX07n&#10;o8+s94hCPM8W2SLEKSTky8VFNgv8yT2Rsc6/ZlqiAEpcC91dtcT63TA30WpyfOP88Nmf9KDBacGr&#10;LRciLmyzvxIWHQn0fxuvcadHaUKhrsTLWT4DTQSGuoZhAigNGONUE/d79IV7SJzG61/EQdiGuHYQ&#10;EBlCGikk98xG1DJSvVIV8icD3is4cziIkazCSDA4ogHFTE+4OCcTfBQK7Az9GjoUkO/3PdAEuNfV&#10;Cbp+MJY3LdibRekhAlMW+zCeiDDGD9eR9P4vsL4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WyWP&#10;1dYAAAAFAQAADwAAAAAAAAABACAAAAAiAAAAZHJzL2Rvd25yZXYueG1sUEsBAhQAFAAAAAgAh07i&#10;QEsQ5lQkAgAATQQAAA4AAAAAAAAAAQAgAAAAJQEAAGRycy9lMm9Eb2MueG1sUEsFBgAAAAAGAAYA&#10;WQEAALsFAAAAAA==&#10;">
                  <v:fill on="t" focussize="0,0"/>
                  <v:stroke color="#000000" joinstyle="miter"/>
                  <v:imagedata o:title=""/>
                  <o:lock v:ext="edit" aspectratio="f"/>
                  <v:textbox>
                    <w:txbxContent>
                      <w:p w14:paraId="307C0207">
                        <w:pPr>
                          <w:adjustRightInd/>
                          <w:snapToGrid/>
                          <w:spacing w:line="240" w:lineRule="auto"/>
                          <w:ind w:firstLine="315" w:firstLineChars="150"/>
                          <w:rPr>
                            <w:rFonts w:hint="eastAsia" w:ascii="Times New Roman" w:hAnsi="Times New Roman" w:eastAsia="宋体" w:cs="Times New Roman"/>
                            <w:sz w:val="21"/>
                          </w:rPr>
                        </w:pPr>
                        <w:r>
                          <w:rPr>
                            <w:rFonts w:hint="eastAsia" w:ascii="Times New Roman" w:hAnsi="Times New Roman" w:eastAsia="宋体" w:cs="Times New Roman"/>
                            <w:sz w:val="21"/>
                          </w:rPr>
                          <w:t>辨识与分析危险、有害因素</w:t>
                        </w:r>
                      </w:p>
                    </w:txbxContent>
                  </v:textbox>
                </v:shape>
                <v:shape id="_x0000_s1026" o:spid="_x0000_s1026" o:spt="109" type="#_x0000_t109" style="position:absolute;left:1371600;top:0;height:297815;width:2171700;" fillcolor="#FFFFFF" filled="t" stroked="t" coordsize="21600,21600" o:gfxdata="UEsDBAoAAAAAAIdO4kAAAAAAAAAAAAAAAAAEAAAAZHJzL1BLAwQUAAAACACHTuJAWyWP1dYAAAAF&#10;AQAADwAAAGRycy9kb3ducmV2LnhtbE2PMU/DMBCFdyT+g3VILBV1XKCNQpwOSEF0YGhg6ebE1yQi&#10;Pkexm5Z/z8ECy5Oe3um97/LtxQ1ixin0njSoZQICqfG2p1bDx3t5l4II0ZA1gyfU8IUBtsX1VW4y&#10;68+0x7mKreASCpnR0MU4ZlKGpkNnwtKPSJwd/eRMZDu10k7mzOVukKskWUtneuKFzoz43GHzWZ2c&#10;hlW6qF7orXx9qHe2NI/qMC/ud1rf3qjkCUTES/w7hh98RoeCmWp/IhvEoIEfib/KWaoStrWGjdqs&#10;QRa5/E9ffANQSwMEFAAAAAgAh07iQFgO9WoeAgAASAQAAA4AAABkcnMvZTJvRG9jLnhtbK1US5LT&#10;MBDdU8UdVNoTfyCTGVecWUwIGwpSNXAARZJtVelXkhI7S1YsOAIX4AJsmdMAc4xpySHzgUUWeCE/&#10;uVuvu1+3PL8clEQ77rwwusbFJMeIa2qY0G2NP35YvTjHyAeiGZFG8xrvuceXi+fP5r2teGk6Ixl3&#10;CEi0r3pb4y4EW2WZpx1XxE+M5RqMjXGKBNi6NmOO9MCuZFbm+VnWG8esM5R7D1+XoxEfGN0phKZp&#10;BOVLQ7eK6zCyOi5JgJJ8J6zHi5Rt03Aa3jeN5wHJGkOlIa0QBPAmrtliTqrWEdsJekiBnJLCk5oU&#10;ERqCHqmWJBC0deIvKiWoM940YUKNysZCkiJQRZE/0ea6I5anWkBqb4+i+/9HS9/t1g4JVuPyFUaa&#10;KOj4r++ffn/78vPrjwrd3nwGiMAGQvXWV+B/bdfusPMAY9VD41R8Qz1ogKF6OSvOcpB4f5SYDwFR&#10;MJXFrJhFEwVbeTE7L6aROrvnsM6HN9woFEGNG2n6q464sB5HJqlMdm99GI/9cY/hvZGCrYSUaePa&#10;zZV0aEeg9av0HCI9cpMa9TW+mJZTyInAPDcwRwCVBU28blO8Ryf8Q+I8Pf8ijoktie/GBBJDdCOV&#10;EoG7hDpO2GvNUNhbkF3DdcMxGcUZRpLD7YwoeQYi5CmeoKPUIGds1diciMKwGYAmwo1he2j41jrR&#10;diBvkVKPFhiw1IfDZYgT/HCfSO9/AIs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yWP1dYAAAAF&#10;AQAADwAAAAAAAAABACAAAAAiAAAAZHJzL2Rvd25yZXYueG1sUEsBAhQAFAAAAAgAh07iQFgO9Woe&#10;AgAASAQAAA4AAAAAAAAAAQAgAAAAJQEAAGRycy9lMm9Eb2MueG1sUEsFBgAAAAAGAAYAWQEAALUF&#10;AAAAAA==&#10;">
                  <v:fill on="t" focussize="0,0"/>
                  <v:stroke color="#000000" joinstyle="miter"/>
                  <v:imagedata o:title=""/>
                  <o:lock v:ext="edit" aspectratio="f"/>
                  <v:textbox>
                    <w:txbxContent>
                      <w:p w14:paraId="66FFFDBF">
                        <w:pPr>
                          <w:adjustRightInd/>
                          <w:snapToGrid/>
                          <w:spacing w:line="240" w:lineRule="auto"/>
                          <w:ind w:firstLine="1050" w:firstLineChars="500"/>
                          <w:rPr>
                            <w:rFonts w:hint="eastAsia" w:ascii="Times New Roman" w:hAnsi="Times New Roman" w:eastAsia="宋体" w:cs="Times New Roman"/>
                            <w:sz w:val="21"/>
                          </w:rPr>
                        </w:pPr>
                        <w:r>
                          <w:rPr>
                            <w:rFonts w:hint="eastAsia" w:ascii="Times New Roman" w:hAnsi="Times New Roman" w:eastAsia="宋体" w:cs="Times New Roman"/>
                            <w:sz w:val="21"/>
                          </w:rPr>
                          <w:t>前期准备</w:t>
                        </w:r>
                      </w:p>
                    </w:txbxContent>
                  </v:textbox>
                </v:shape>
                <v:line id="_x0000_s1026" o:spid="_x0000_s1026" o:spt="20" style="position:absolute;left:2400300;top:297180;height:297180;width:635;" filled="f" stroked="t" coordsize="21600,21600" o:gfxdata="UEsDBAoAAAAAAIdO4kAAAAAAAAAAAAAAAAAEAAAAZHJzL1BLAwQUAAAACACHTuJAzh+Ky9YAAAAF&#10;AQAADwAAAGRycy9kb3ducmV2LnhtbE2PwU7DMBBE70j8g7VI3KgdDm2UxukBqVxaQG0Rojc3XpKI&#10;eB3ZThv+noULXEYazWrmbbmaXC/OGGLnSUM2UyCQam87ajS8HtZ3OYiYDFnTe0INXxhhVV1flaaw&#10;/kI7PO9TI7iEYmE0tCkNhZSxbtGZOPMDEmcfPjiT2IZG2mAuXO56ea/UXDrTES+0ZsCHFuvP/eg0&#10;7LbrTf62Gac6HB+z58PL9uk95lrf3mRqCSLhlP6O4Qef0aFippMfyUbRa+BH0q9ylmeK7UnDIlvM&#10;QVal/E9ffQNQSwMEFAAAAAgAh07iQK9igCcFAgAA9gMAAA4AAABkcnMvZTJvRG9jLnhtbK1TzY7T&#10;MBC+I/EOlu80aZdddqOme9iyXBBUAh5gajuJJf/J4zbtS/ACSNzgxJH7vg3LYzBOypZdhLQHcnDG&#10;mfE33/dlPL/cWcO2KqL2rubTScmZcsJL7dqaf3h//eycM0zgJBjvVM33Cvnl4umTeR8qNfOdN1JF&#10;RiAOqz7UvEspVEWBolMWcOKDcpRsfLSQaBvbQkboCd2aYlaWZ0XvowzRC4VIX5djkh8Q42MAfdNo&#10;oZZebKxyaUSNykAiSdjpgHwxsG0aJdLbpkGVmKk5KU3DSk0oXue1WMyhaiOETosDBXgMhQeaLGhH&#10;Te+glpCAbaL+C8pqET36Jk2Et8UoZHCEVEzLB9686yCoQQtZjeHOdPx/sOLNdhWZljWfnXLmwNIf&#10;v/30/cfHLz9vPtN6++0rowzZ1AesqPrKreJhh2EVs+ZdE21+kxq2I6DnZXlSksF7ii9eTM8PLqtd&#10;YoLyZyfUSdxLFkeQEDG9Ut6yHNTcaJcdgAq2rzFRYyr9XZI/G8f6ml+cZvYCaBwbGgMKbSBJ6Nrh&#10;LHqj5bU2Jp/A2K6vTGRbyCMxPFke4d4ry02WgN1YN6TGYekUyJdOsrQP5JWjO8IzBaskZ0bRlcoR&#10;AUKVQJtjZYoaXGv+UU3tjSMW2eXR1xytvdzT79mEqNuO3JgOTHOGxmHgfBjdPG9/7gek43Vd/A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OH4rL1gAAAAUBAAAPAAAAAAAAAAEAIAAAACIAAABkcnMv&#10;ZG93bnJldi54bWxQSwECFAAUAAAACACHTuJAr2KAJwUCAAD2AwAADgAAAAAAAAABACAAAAAlAQAA&#10;ZHJzL2Uyb0RvYy54bWxQSwUGAAAAAAYABgBZAQAAnAUAAAAA&#10;">
                  <v:fill on="f" focussize="0,0"/>
                  <v:stroke color="#000000" joinstyle="round" endarrow="block"/>
                  <v:imagedata o:title=""/>
                  <o:lock v:ext="edit" aspectratio="f"/>
                </v:line>
                <v:line id="_x0000_s1026" o:spid="_x0000_s1026" o:spt="20" style="position:absolute;left:2400300;top:891540;height:296545;width:635;" filled="f" stroked="t" coordsize="21600,21600" o:gfxdata="UEsDBAoAAAAAAIdO4kAAAAAAAAAAAAAAAAAEAAAAZHJzL1BLAwQUAAAACACHTuJAzh+Ky9YAAAAF&#10;AQAADwAAAGRycy9kb3ducmV2LnhtbE2PwU7DMBBE70j8g7VI3KgdDm2UxukBqVxaQG0Rojc3XpKI&#10;eB3ZThv+noULXEYazWrmbbmaXC/OGGLnSUM2UyCQam87ajS8HtZ3OYiYDFnTe0INXxhhVV1flaaw&#10;/kI7PO9TI7iEYmE0tCkNhZSxbtGZOPMDEmcfPjiT2IZG2mAuXO56ea/UXDrTES+0ZsCHFuvP/eg0&#10;7LbrTf62Gac6HB+z58PL9uk95lrf3mRqCSLhlP6O4Qef0aFippMfyUbRa+BH0q9ylmeK7UnDIlvM&#10;QVal/E9ffQNQSwMEFAAAAAgAh07iQA/+R5sJAgAA9gMAAA4AAABkcnMvZTJvRG9jLnhtbK1TTY7T&#10;MBTeI3EHy3uatNNW06jpLKYMGwQjAQd4tZ3Ekv9ku017CS6AxA5WLNlzG4Zj8OyEKQxCmgVZOM9+&#10;nz+/7/Pz+uqoFTkIH6Q1NZ1OSkqEYZZL09b03dubZ5eUhAiGg7JG1PQkAr3aPH2y7l0lZrazigtP&#10;kMSEqnc17WJ0VVEE1gkNYWKdMJhsrNcQcerbgnvokV2rYlaWy6K3njtvmQgBV7dDko6M/jGEtmkk&#10;E1vL9lqYOLB6oSCipNBJF+gmV9s0gsXXTRNEJKqmqDTmEQ/BeJfGYrOGqvXgOsnGEuAxJTzQpEEa&#10;PPSeagsRyN7Lv6i0ZN4G28QJs7oYhGRHUMW0fODNmw6cyFrQ6uDuTQ//j5a9Otx6InlNZ0tKDGi8&#10;8bsPX7+///Tj20cc7758JphBm3oXKkRfm1s/zoK79UnzsfE6/VENOSLRvCwvSjT4VNPL1XQxH10W&#10;x0gY5pcXC0oYJmer5WK+SNzFmcT5EF8Iq0kKaqqkSQ5ABYeXIQ7QX5C0rAzpa7pazBInYDs22AYY&#10;aoeSgmnz3mCV5DdSqbQj+HZ3rTw5QGqJ/I0l/AFLh2whdAMupxIMqk4Af244iSeHXhl8IzSVoAWn&#10;RAl8UinKyAhSnZHRSzCt+gcaHVAGjUguD76maGf5Ca9n77xsO3RjmitNGWyHbNvYuqnffp9npvNz&#10;3fw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h+Ky9YAAAAFAQAADwAAAAAAAAABACAAAAAiAAAA&#10;ZHJzL2Rvd25yZXYueG1sUEsBAhQAFAAAAAgAh07iQA/+R5sJAgAA9gMAAA4AAAAAAAAAAQAgAAAA&#10;JQEAAGRycy9lMm9Eb2MueG1sUEsFBgAAAAAGAAYAWQEAAKAFAAAAAA==&#10;">
                  <v:fill on="f" focussize="0,0"/>
                  <v:stroke color="#000000" joinstyle="round" endarrow="block"/>
                  <v:imagedata o:title=""/>
                  <o:lock v:ext="edit" aspectratio="f"/>
                </v:line>
                <v:line id="_x0000_s1026" o:spid="_x0000_s1026" o:spt="20" style="position:absolute;left:2400300;top:1485900;height:297180;width:635;" filled="f" stroked="t" coordsize="21600,21600" o:gfxdata="UEsDBAoAAAAAAIdO4kAAAAAAAAAAAAAAAAAEAAAAZHJzL1BLAwQUAAAACACHTuJAzh+Ky9YAAAAF&#10;AQAADwAAAGRycy9kb3ducmV2LnhtbE2PwU7DMBBE70j8g7VI3KgdDm2UxukBqVxaQG0Rojc3XpKI&#10;eB3ZThv+noULXEYazWrmbbmaXC/OGGLnSUM2UyCQam87ajS8HtZ3OYiYDFnTe0INXxhhVV1flaaw&#10;/kI7PO9TI7iEYmE0tCkNhZSxbtGZOPMDEmcfPjiT2IZG2mAuXO56ea/UXDrTES+0ZsCHFuvP/eg0&#10;7LbrTf62Gac6HB+z58PL9uk95lrf3mRqCSLhlP6O4Qef0aFippMfyUbRa+BH0q9ylmeK7UnDIlvM&#10;QVal/E9ffQNQSwMEFAAAAAgAh07iQNsITYMLAgAA9wMAAA4AAABkcnMvZTJvRG9jLnhtbK1TTW4T&#10;MRTeI3EHy3syk7Rpk1EmXTSUDYJI0AO82J4ZS/6T7WSSS3ABJHawYsme21COwbMnbaAIqQtm4Xn2&#10;e/78fZ+fF1d7rchO+CCtqel4VFIiDLNcmramt+9vXswoCREMB2WNqOlBBHq1fP5s0btKTGxnFRee&#10;IIgJVe9q2sXoqqIIrBMawsg6YTDZWK8h4tS3BffQI7pWxaQsL4reeu68ZSIEXF0NSXpE9E8BtE0j&#10;mVhZttXCxAHVCwURJYVOukCXmW3TCBbfNk0QkaiaotKYRzwE400ai+UCqtaD6yQ7UoCnUHikSYM0&#10;eOgD1AoikK2Xf0FpybwNtokjZnUxCMmOoIpx+cibdx04kbWg1cE9mB7+Hyx7s1t7InlNJ5eUGNB4&#10;43cfv/348Pnn90843n39QjCDNvUuVFh9bdb+OAtu7ZPmfeN1+qMaskeg87I8K9HgA7bX+Ww6xzjb&#10;LPaRMCy4OJtSwjA7mV+OZzlZnFCcD/GVsJqkoKZKmmQBVLB7HSLiYOl9SVpWhvQ1nU8nCROwHxvs&#10;Awy1Q03BtHlvsEryG6lU2hF8u7lWnuwg9UT+Ej/E/aMsHbKC0A11OTXI6ATwl4aTeHBolsFHQhMF&#10;LTglSuCbSlEWHEGqU2X0Ekyr/lGNxyuDLJLNg7Ep2lh+wPvZOi/bDt0YZ6Ypg/2QOR97NzXc7/OM&#10;dHqvy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OH4rL1gAAAAUBAAAPAAAAAAAAAAEAIAAAACIA&#10;AABkcnMvZG93bnJldi54bWxQSwECFAAUAAAACACHTuJA2whNgwsCAAD3AwAADgAAAAAAAAABACAA&#10;AAAlAQAAZHJzL2Uyb0RvYy54bWxQSwUGAAAAAAYABgBZAQAAogUAAAAA&#10;">
                  <v:fill on="f" focussize="0,0"/>
                  <v:stroke color="#000000" joinstyle="round" endarrow="block"/>
                  <v:imagedata o:title=""/>
                  <o:lock v:ext="edit" aspectratio="f"/>
                </v:line>
                <v:line id="_x0000_s1026" o:spid="_x0000_s1026" o:spt="20" style="position:absolute;left:2400300;top:2080260;height:297180;width:635;" filled="f" stroked="t" coordsize="21600,21600" o:gfxdata="UEsDBAoAAAAAAIdO4kAAAAAAAAAAAAAAAAAEAAAAZHJzL1BLAwQUAAAACACHTuJAzh+Ky9YAAAAF&#10;AQAADwAAAGRycy9kb3ducmV2LnhtbE2PwU7DMBBE70j8g7VI3KgdDm2UxukBqVxaQG0Rojc3XpKI&#10;eB3ZThv+noULXEYazWrmbbmaXC/OGGLnSUM2UyCQam87ajS8HtZ3OYiYDFnTe0INXxhhVV1flaaw&#10;/kI7PO9TI7iEYmE0tCkNhZSxbtGZOPMDEmcfPjiT2IZG2mAuXO56ea/UXDrTES+0ZsCHFuvP/eg0&#10;7LbrTf62Gac6HB+z58PL9uk95lrf3mRqCSLhlP6O4Qef0aFippMfyUbRa+BH0q9ylmeK7UnDIlvM&#10;QVal/E9ffQNQSwMEFAAAAAgAh07iQIszfiMKAgAA9wMAAA4AAABkcnMvZTJvRG9jLnhtbK1TzY7T&#10;MBC+I/EOlu80aZct3ajpHrYsFwQrAQ8wdZzEkv/kcZv2JXgBJG5w4sidt2F5DMZO2cIipD2QgzPO&#10;fPlmvs/j5eXeaLaTAZWzNZ9OSs6kFa5Rtqv5u7fXTxacYQTbgHZW1vwgkV+uHj9aDr6SM9c73cjA&#10;iMRiNfia9zH6qihQ9NIATpyXlpKtCwYibUNXNAEGYje6mJXlvBhcaHxwQiLS1/WY5EfG8BBC17ZK&#10;yLUTWyNtHFmD1BBJEvbKI1/lbttWivi6bVFGpmtOSmNeqQjFm7QWqyVUXQDfK3FsAR7Swj1NBpSl&#10;ondUa4jAtkH9RWWUCA5dGyfCmWIUkh0hFdPynjdvevAyayGr0d+Zjv+PVrza3QSmmprP6NwtGDrx&#10;2w9fv7//9OPbR1pvv3xmlCGbBo8Voa/sTTju0N+EpHnfBpPepIbtiehpWZ6VZPCB4nJRzuZHm+U+&#10;MkGA+dk5ZyJlL55NFzlZnFh8wPhCOsNSUHOtbLIAKti9xEiVCfoLkj5ry4aaX5zPEifQPLY0BxQa&#10;T5rQdvlfdFo110rr9AeGbnOlA9tBmon8JH3E+wcsFVkD9iMup8Zp6SU0z23D4sGTWZYuCU8tGNlw&#10;piXdqRQRIVQRlD4hY1BgO/0PNJXXlrpINo/GpmjjmgOdz9YH1fXkxjR3mjI0D7nn4+ymgft9n5lO&#10;93X1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4fisvWAAAABQEAAA8AAAAAAAAAAQAgAAAAIgAA&#10;AGRycy9kb3ducmV2LnhtbFBLAQIUABQAAAAIAIdO4kCLM34jCgIAAPcDAAAOAAAAAAAAAAEAIAAA&#10;ACUBAABkcnMvZTJvRG9jLnhtbFBLBQYAAAAABgAGAFkBAAChBQAAAAA=&#10;">
                  <v:fill on="f" focussize="0,0"/>
                  <v:stroke color="#000000" joinstyle="round" endarrow="block"/>
                  <v:imagedata o:title=""/>
                  <o:lock v:ext="edit" aspectratio="f"/>
                </v:line>
                <v:line id="_x0000_s1026" o:spid="_x0000_s1026" o:spt="20" style="position:absolute;left:2400300;top:2674620;height:296545;width:635;" filled="f" stroked="t" coordsize="21600,21600" o:gfxdata="UEsDBAoAAAAAAIdO4kAAAAAAAAAAAAAAAAAEAAAAZHJzL1BLAwQUAAAACACHTuJAzh+Ky9YAAAAF&#10;AQAADwAAAGRycy9kb3ducmV2LnhtbE2PwU7DMBBE70j8g7VI3KgdDm2UxukBqVxaQG0Rojc3XpKI&#10;eB3ZThv+noULXEYazWrmbbmaXC/OGGLnSUM2UyCQam87ajS8HtZ3OYiYDFnTe0INXxhhVV1flaaw&#10;/kI7PO9TI7iEYmE0tCkNhZSxbtGZOPMDEmcfPjiT2IZG2mAuXO56ea/UXDrTES+0ZsCHFuvP/eg0&#10;7LbrTf62Gac6HB+z58PL9uk95lrf3mRqCSLhlP6O4Qef0aFippMfyUbRa+BH0q9ylmeK7UnDIlvM&#10;QVal/E9ffQNQSwMEFAAAAAgAh07iQH5m7p8IAgAA9wMAAA4AAABkcnMvZTJvRG9jLnhtbK1TTY7T&#10;MBTeI3EHy3uatNMWGjWdxZRhg2Ak4ACvtpNY8p9st2kvwQWQ2MGKJXtuw3AMnp0whUFIsyAL59nv&#10;8+f3fX5eXx61Igfhg7SmptNJSYkwzHJp2pq+e3v95BklIYLhoKwRNT2JQC83jx+te1eJme2s4sIT&#10;JDGh6l1NuxhdVRSBdUJDmFgnDCYb6zVEnPq24B56ZNeqmJXlsuit585bJkLA1e2QpCOjfwihbRrJ&#10;xNayvRYmDqxeKIgoKXTSBbrJ1TaNYPF10wQRiaopKo15xEMw3qWx2Kyhaj24TrKxBHhICfc0aZAG&#10;D72j2kIEsvfyLyotmbfBNnHCrC4GIdkRVDEt73nzpgMnsha0Org708P/o2WvDjeeSF7T2YoSAxpv&#10;/PbD1+/vP/349hHH2y+fCWbQpt6FCtFX5saPs+BufNJ8bLxOf1RDjkg0L8uLEg0+Ybx8Ol/ORpvF&#10;MRKGgOXFghKWsqvlYr5I5MWZxfkQXwirSQpqqqRJFkAFh5chDtBfkLSsDOlrulrMEidgPzbYBxhq&#10;h5qCafPeYJXk11KptCP4dnelPDlA6on8jSX8AUuHbCF0Ay6nEgyqTgB/bjiJJ4dmGXwkNJWgBadE&#10;CXxTKcrICFKdkdFLMK36BxodUAaNSDYPxqZoZ/kJ72fvvGw7dGOaK00Z7Ids29i7qeF+n2em83vd&#10;/A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OH4rL1gAAAAUBAAAPAAAAAAAAAAEAIAAAACIAAABk&#10;cnMvZG93bnJldi54bWxQSwECFAAUAAAACACHTuJAfmbunwgCAAD3AwAADgAAAAAAAAABACAAAAAl&#10;AQAAZHJzL2Uyb0RvYy54bWxQSwUGAAAAAAYABgBZAQAAnwUAAAAA&#10;">
                  <v:fill on="f" focussize="0,0"/>
                  <v:stroke color="#000000" joinstyle="round" endarrow="block"/>
                  <v:imagedata o:title=""/>
                  <o:lock v:ext="edit" aspectratio="f"/>
                </v:line>
                <v:line id="_x0000_s1026" o:spid="_x0000_s1026" o:spt="20" style="position:absolute;left:2400300;top:3268980;height:297180;width:635;" filled="f" stroked="t" coordsize="21600,21600" o:gfxdata="UEsDBAoAAAAAAIdO4kAAAAAAAAAAAAAAAAAEAAAAZHJzL1BLAwQUAAAACACHTuJAzh+Ky9YAAAAF&#10;AQAADwAAAGRycy9kb3ducmV2LnhtbE2PwU7DMBBE70j8g7VI3KgdDm2UxukBqVxaQG0Rojc3XpKI&#10;eB3ZThv+noULXEYazWrmbbmaXC/OGGLnSUM2UyCQam87ajS8HtZ3OYiYDFnTe0INXxhhVV1flaaw&#10;/kI7PO9TI7iEYmE0tCkNhZSxbtGZOPMDEmcfPjiT2IZG2mAuXO56ea/UXDrTES+0ZsCHFuvP/eg0&#10;7LbrTf62Gac6HB+z58PL9uk95lrf3mRqCSLhlP6O4Qef0aFippMfyUbRa+BH0q9ylmeK7UnDIlvM&#10;QVal/E9ffQNQSwMEFAAAAAgAh07iQDF/I3wLAgAA9wMAAA4AAABkcnMvZTJvRG9jLnhtbK1TzY7T&#10;MBC+I/EOlu80acqWNmq6hy3LBcFKwANMHSex5D953KZ9CV4AiRucOHLnbVgeg3FStrAIaQ/k4Iwz&#10;n7+Z78t4dXkwmu1lQOVsxaeTnDNphauVbSv+7u31kwVnGMHWoJ2VFT9K5Jfrx49WvS9l4TqnaxkY&#10;kVgse1/xLkZfZhmKThrAifPSUrJxwUCkbWizOkBP7EZnRZ7Ps96F2gcnJCJ93YxJfmIMDyF0TaOE&#10;3DixM9LGkTVIDZEkYac88vXQbdNIEV83DcrIdMVJaRxWKkLxNq3ZegVlG8B3SpxagIe0cE+TAWWp&#10;6B3VBiKwXVB/URklgkPXxIlwJhuFDI6Qiml+z5s3HXg5aCGr0d+Zjv+PVrza3wSm6orPyBILhv74&#10;7Yev399/+vHtI623Xz4zypBNvceS0Ff2Jpx26G9C0nxogklvUsMOFS+e5vksJ7YjkRbzxXJxslke&#10;IhMEmM8uOBOULZbPpmMyO7P4gPGFdIaloOJa2WQBlLB/iZEqE/QXJH3WlvUVX14UiRNoHhuaAwqN&#10;J01o2+EsOq3qa6V1OoGh3V7pwPaQZmJ4kj7i/QOWimwAuxE3pMZp6STUz23N4tGTWZYuCU8tGFlz&#10;piXdqRQRIZQRlD4jY1BgW/0PNJXXlrpINo/Gpmjr6iP9n50Pqu3IjenQacrQPAw9n2Y3Ddzv+4Hp&#10;fF/X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OH4rL1gAAAAUBAAAPAAAAAAAAAAEAIAAAACIA&#10;AABkcnMvZG93bnJldi54bWxQSwECFAAUAAAACACHTuJAMX8jfAsCAAD3AwAADgAAAAAAAAABACAA&#10;AAAlAQAAZHJzL2Uyb0RvYy54bWxQSwUGAAAAAAYABgBZAQAAogUAAAAA&#10;">
                  <v:fill on="f" focussize="0,0"/>
                  <v:stroke color="#000000" joinstyle="round" endarrow="block"/>
                  <v:imagedata o:title=""/>
                  <o:lock v:ext="edit" aspectratio="f"/>
                </v:line>
                <v:line id="_x0000_s1026" o:spid="_x0000_s1026" o:spt="20" style="position:absolute;left:2400300;top:3863340;height:297180;width:635;" filled="f" stroked="t" coordsize="21600,21600" o:gfxdata="UEsDBAoAAAAAAIdO4kAAAAAAAAAAAAAAAAAEAAAAZHJzL1BLAwQUAAAACACHTuJAzh+Ky9YAAAAF&#10;AQAADwAAAGRycy9kb3ducmV2LnhtbE2PwU7DMBBE70j8g7VI3KgdDm2UxukBqVxaQG0Rojc3XpKI&#10;eB3ZThv+noULXEYazWrmbbmaXC/OGGLnSUM2UyCQam87ajS8HtZ3OYiYDFnTe0INXxhhVV1flaaw&#10;/kI7PO9TI7iEYmE0tCkNhZSxbtGZOPMDEmcfPjiT2IZG2mAuXO56ea/UXDrTES+0ZsCHFuvP/eg0&#10;7LbrTf62Gac6HB+z58PL9uk95lrf3mRqCSLhlP6O4Qef0aFippMfyUbRa+BH0q9ylmeK7UnDIlvM&#10;QVal/E9ffQNQSwMEFAAAAAgAh07iQK7CsK4NAgAA9wMAAA4AAABkcnMvZTJvRG9jLnhtbK1TzY7T&#10;MBC+I/EOlu80abtbulHTPWxZLggqAQ8wtZ3Ekv9ku037ErwAEjc4ceS+b8PyGIyd7nZZhLQHcnDG&#10;mS/fzPd5vLjca0V2wgdpTU3Ho5ISYZjl0rQ1/fjh+sWckhDBcFDWiJoeRKCXy+fPFr2rxMR2VnHh&#10;CZKYUPWupl2MriqKwDqhIYysEwaTjfUaIm59W3APPbJrVUzKclb01nPnLRMh4NfVkKRHRv8UQts0&#10;komVZVstTBxYvVAQUVLopAt0mbttGsHiu6YJIhJVU1Qa84pFMN6ktVguoGo9uE6yYwvwlBYeadIg&#10;DRa9p1pBBLL18i8qLZm3wTZxxKwuBiHZEVQxLh95874DJ7IWtDq4e9PD/6Nlb3drTySv6XRMiQGN&#10;J377+cfPT19/3XzB9fb7N4IZtKl3oUL0lVn74y64tU+a943X6Y1qyL6mk7OynJZo8AFJ57Pp9Oxo&#10;s9hHwhAwm55TwjA7uXg5nudkcWJxPsTXwmqSgpoqaZIFUMHuTYhYGaF3kPRZGdLX9OJ8kjgB57HB&#10;OcBQO9QUTJv/DVZJfi2VSn8E326ulCc7SDORn6QPef+ApSIrCN2Ay6lhWjoB/JXhJB4cmmXwktDU&#10;ghacEiXwTqUICaGKINUJGb0E06p/oLG8MthFsnkwNkUbyw94PlvnZduhG/kkMgbnIfd8nN00cA/3&#10;mel0X5e/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4fisvWAAAABQEAAA8AAAAAAAAAAQAgAAAA&#10;IgAAAGRycy9kb3ducmV2LnhtbFBLAQIUABQAAAAIAIdO4kCuwrCuDQIAAPcDAAAOAAAAAAAAAAEA&#10;IAAAACUBAABkcnMvZTJvRG9jLnhtbFBLBQYAAAAABgAGAFkBAACkBQAAAAA=&#10;">
                  <v:fill on="f" focussize="0,0"/>
                  <v:stroke color="#000000" joinstyle="round" endarrow="block"/>
                  <v:imagedata o:title=""/>
                  <o:lock v:ext="edit" aspectratio="f"/>
                </v:line>
                <w10:wrap type="none"/>
                <w10:anchorlock/>
              </v:group>
            </w:pict>
          </mc:Fallback>
        </mc:AlternateContent>
      </w:r>
    </w:p>
    <w:p w14:paraId="6A8CF879">
      <w:pPr>
        <w:ind w:firstLine="2520" w:firstLineChars="900"/>
        <w:jc w:val="both"/>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图1.4-1安全现状评价程序框图</w:t>
      </w:r>
    </w:p>
    <w:p w14:paraId="3E5D87B7">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14:paraId="2FD80BA3">
      <w:pPr>
        <w:pStyle w:val="3"/>
        <w:bidi w:val="0"/>
        <w:rPr>
          <w:rFonts w:hint="default" w:ascii="Times New Roman" w:hAnsi="Times New Roman" w:cs="Times New Roman"/>
          <w:color w:val="auto"/>
          <w:lang w:val="en-US" w:eastAsia="zh-CN"/>
        </w:rPr>
      </w:pPr>
      <w:bookmarkStart w:id="30" w:name="_Toc2331"/>
      <w:r>
        <w:rPr>
          <w:rFonts w:hint="default" w:ascii="Times New Roman" w:hAnsi="Times New Roman" w:cs="Times New Roman"/>
          <w:color w:val="auto"/>
          <w:lang w:val="en-US" w:eastAsia="zh-CN"/>
        </w:rPr>
        <w:t>2尾矿库概况</w:t>
      </w:r>
      <w:bookmarkEnd w:id="30"/>
    </w:p>
    <w:p w14:paraId="5A63207B">
      <w:pPr>
        <w:pStyle w:val="4"/>
        <w:bidi w:val="0"/>
        <w:rPr>
          <w:rFonts w:hint="default" w:ascii="Times New Roman" w:hAnsi="Times New Roman" w:cs="Times New Roman"/>
          <w:color w:val="auto"/>
          <w:lang w:val="en-US" w:eastAsia="zh-CN"/>
        </w:rPr>
      </w:pPr>
      <w:bookmarkStart w:id="31" w:name="_Toc10108"/>
      <w:r>
        <w:rPr>
          <w:rFonts w:hint="default" w:ascii="Times New Roman" w:hAnsi="Times New Roman" w:cs="Times New Roman"/>
          <w:color w:val="auto"/>
          <w:lang w:val="en-US" w:eastAsia="zh-CN"/>
        </w:rPr>
        <w:t>2.1建设单位运行情况</w:t>
      </w:r>
      <w:bookmarkEnd w:id="31"/>
    </w:p>
    <w:p w14:paraId="0A82AED3">
      <w:pPr>
        <w:pStyle w:val="5"/>
        <w:bidi w:val="0"/>
        <w:rPr>
          <w:rFonts w:hint="default" w:ascii="Times New Roman" w:hAnsi="Times New Roman" w:cs="Times New Roman"/>
          <w:color w:val="auto"/>
          <w:lang w:val="en-US" w:eastAsia="zh-CN"/>
        </w:rPr>
      </w:pPr>
      <w:bookmarkStart w:id="32" w:name="_Toc28167"/>
      <w:r>
        <w:rPr>
          <w:rFonts w:hint="default" w:ascii="Times New Roman" w:hAnsi="Times New Roman" w:cs="Times New Roman"/>
          <w:color w:val="auto"/>
          <w:lang w:val="en-US" w:eastAsia="zh-CN"/>
        </w:rPr>
        <w:t>2.1.1企业简介</w:t>
      </w:r>
      <w:bookmarkEnd w:id="32"/>
    </w:p>
    <w:p w14:paraId="31A955D1">
      <w:pPr>
        <w:spacing w:line="360" w:lineRule="auto"/>
        <w:ind w:firstLine="48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江西临川鲁金矿业有限公司成立于1999年10月27日，属于有限责任公司(自然人投资或控股)，位于江西省抚州市临川区茅排乡。茅排金矿是江西临川鲁金矿业有限公司下属矿山，开采矿种为金矿。</w:t>
      </w:r>
    </w:p>
    <w:p w14:paraId="34693BBF">
      <w:pPr>
        <w:spacing w:line="360" w:lineRule="auto"/>
        <w:ind w:firstLine="48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江西临川鲁金矿业有限公司茅排金矿位于江西省抚州市临川区茅排乡、荣山镇与南城县岳口乡交界一带，行政区划</w:t>
      </w:r>
      <w:r>
        <w:rPr>
          <w:rFonts w:hint="eastAsia" w:ascii="Times New Roman" w:hAnsi="Times New Roman" w:cs="Times New Roman"/>
          <w:color w:val="auto"/>
          <w:sz w:val="28"/>
          <w:szCs w:val="28"/>
          <w:lang w:val="en-US" w:eastAsia="zh-CN"/>
        </w:rPr>
        <w:t>主要属</w:t>
      </w:r>
      <w:r>
        <w:rPr>
          <w:rFonts w:hint="default" w:ascii="Times New Roman" w:hAnsi="Times New Roman" w:cs="Times New Roman"/>
          <w:color w:val="auto"/>
          <w:sz w:val="28"/>
          <w:szCs w:val="28"/>
        </w:rPr>
        <w:t>临川</w:t>
      </w:r>
      <w:r>
        <w:rPr>
          <w:rFonts w:hint="eastAsia" w:ascii="Times New Roman" w:hAnsi="Times New Roman" w:cs="Times New Roman"/>
          <w:color w:val="auto"/>
          <w:sz w:val="28"/>
          <w:szCs w:val="28"/>
          <w:lang w:val="en-US" w:eastAsia="zh-CN"/>
        </w:rPr>
        <w:t>市</w:t>
      </w:r>
      <w:r>
        <w:rPr>
          <w:rFonts w:hint="default" w:ascii="Times New Roman" w:hAnsi="Times New Roman" w:cs="Times New Roman"/>
          <w:color w:val="auto"/>
          <w:sz w:val="28"/>
          <w:szCs w:val="28"/>
        </w:rPr>
        <w:t>茅排乡，部分属南城县岳口乡。距南城县25km，至临川区55km，有11km简易公路通往206国道。</w:t>
      </w:r>
    </w:p>
    <w:p w14:paraId="5BAC6DBA">
      <w:pPr>
        <w:pStyle w:val="5"/>
        <w:bidi w:val="0"/>
        <w:rPr>
          <w:rFonts w:hint="default" w:ascii="Times New Roman" w:hAnsi="Times New Roman" w:cs="Times New Roman"/>
          <w:color w:val="auto"/>
          <w:lang w:val="en-US" w:eastAsia="zh-CN"/>
        </w:rPr>
      </w:pPr>
      <w:bookmarkStart w:id="33" w:name="_Toc26640"/>
      <w:r>
        <w:rPr>
          <w:rFonts w:hint="default" w:ascii="Times New Roman" w:hAnsi="Times New Roman" w:cs="Times New Roman"/>
          <w:color w:val="auto"/>
          <w:lang w:val="en-US" w:eastAsia="zh-CN"/>
        </w:rPr>
        <w:t>2.1.2尾矿库简介</w:t>
      </w:r>
      <w:bookmarkEnd w:id="33"/>
    </w:p>
    <w:p w14:paraId="434DF438">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江西临川鲁金矿业有限公司茅排金矿庄前尾矿库</w:t>
      </w:r>
      <w:r>
        <w:rPr>
          <w:rFonts w:hint="eastAsia" w:ascii="Times New Roman" w:hAnsi="Times New Roman" w:cs="Times New Roman"/>
          <w:color w:val="auto"/>
          <w:lang w:val="en-US" w:eastAsia="zh-CN"/>
        </w:rPr>
        <w:t>（以下简称“该尾矿库”）</w:t>
      </w:r>
      <w:r>
        <w:rPr>
          <w:rFonts w:hint="default" w:ascii="Times New Roman" w:hAnsi="Times New Roman" w:cs="Times New Roman"/>
          <w:color w:val="auto"/>
          <w:lang w:val="en-US" w:eastAsia="zh-CN"/>
        </w:rPr>
        <w:t>原由山东黄金设计院设计，设计坝型为碾压土料一次性筑坝。</w:t>
      </w:r>
    </w:p>
    <w:p w14:paraId="7288906C">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2012年11月江西临川鲁金矿业有限公司委托金建工程设计有限公司对其庄前尾矿库进行整改设计。整改设计尾矿坝坝顶高程为233.0m，总坝高为21.0m，总库容约12.02×10</w:t>
      </w:r>
      <w:r>
        <w:rPr>
          <w:rFonts w:hint="default" w:ascii="Times New Roman" w:hAnsi="Times New Roman" w:cs="Times New Roman"/>
          <w:color w:val="auto"/>
          <w:vertAlign w:val="superscript"/>
          <w:lang w:val="en-US" w:eastAsia="zh-CN"/>
        </w:rPr>
        <w:t>4</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，库容利用系数取0.9，有效库容约10.81×10</w:t>
      </w:r>
      <w:r>
        <w:rPr>
          <w:rFonts w:hint="default" w:ascii="Times New Roman" w:hAnsi="Times New Roman" w:cs="Times New Roman"/>
          <w:color w:val="auto"/>
          <w:vertAlign w:val="superscript"/>
          <w:lang w:val="en-US" w:eastAsia="zh-CN"/>
        </w:rPr>
        <w:t>4</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，可为矿山服务5.17年。该尾矿库为五等库，库内主要构筑物级别为5级，次要构筑物级别为5级，临时构筑物为5等，汇水面积为1.078km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，排水排洪系统有两套，一套由排水斜槽+连接井+排洪隧洞组成，另一套为设置于右坝肩的溢洪道。</w:t>
      </w:r>
    </w:p>
    <w:p w14:paraId="63FE9B0F">
      <w:pPr>
        <w:bidi w:val="0"/>
        <w:rPr>
          <w:rFonts w:hint="default"/>
          <w:lang w:val="en-US" w:eastAsia="zh-CN"/>
        </w:rPr>
      </w:pPr>
      <w:r>
        <w:rPr>
          <w:rFonts w:hint="default" w:ascii="Times New Roman" w:hAnsi="Times New Roman" w:cs="Times New Roman"/>
          <w:lang w:val="en-US" w:eastAsia="zh-CN"/>
        </w:rPr>
        <w:t>2012年11月</w:t>
      </w:r>
      <w:r>
        <w:rPr>
          <w:rFonts w:hint="eastAsia"/>
          <w:lang w:val="en-US" w:eastAsia="zh-CN"/>
        </w:rPr>
        <w:t>，</w:t>
      </w:r>
      <w:r>
        <w:rPr>
          <w:rFonts w:hint="default"/>
          <w:lang w:val="en-US" w:eastAsia="zh-CN"/>
        </w:rPr>
        <w:t>江西省物化探地质工程勘察院对尾矿库进行了工勘，并提交了《江西临川鲁金矿业有限公司茅排金矿庄前尾矿库工程(水文)地质勘察报告》</w:t>
      </w:r>
      <w:r>
        <w:rPr>
          <w:rFonts w:hint="eastAsia"/>
          <w:lang w:val="en-US" w:eastAsia="zh-CN"/>
        </w:rPr>
        <w:t>。</w:t>
      </w:r>
    </w:p>
    <w:p w14:paraId="7EE22EBA">
      <w:pPr>
        <w:bidi w:val="0"/>
        <w:rPr>
          <w:rFonts w:hint="eastAsia"/>
          <w:lang w:val="en-US" w:eastAsia="zh-CN"/>
        </w:rPr>
      </w:pPr>
      <w:r>
        <w:rPr>
          <w:rFonts w:hint="default" w:ascii="Times New Roman" w:hAnsi="Times New Roman" w:cs="Times New Roman"/>
          <w:lang w:val="en-US" w:eastAsia="zh-CN"/>
        </w:rPr>
        <w:t>2012年11月</w:t>
      </w:r>
      <w:r>
        <w:rPr>
          <w:rFonts w:hint="eastAsia"/>
          <w:lang w:val="en-US" w:eastAsia="zh-CN"/>
        </w:rPr>
        <w:t>，</w:t>
      </w:r>
      <w:r>
        <w:rPr>
          <w:rFonts w:hint="default"/>
          <w:lang w:val="en-US" w:eastAsia="zh-CN"/>
        </w:rPr>
        <w:t>金建工程设计有限公司编制</w:t>
      </w:r>
      <w:r>
        <w:rPr>
          <w:rFonts w:hint="eastAsia"/>
          <w:lang w:val="en-US" w:eastAsia="zh-CN"/>
        </w:rPr>
        <w:t>了</w:t>
      </w:r>
      <w:r>
        <w:rPr>
          <w:rFonts w:hint="default"/>
          <w:lang w:val="en-US" w:eastAsia="zh-CN"/>
        </w:rPr>
        <w:t>《江西省临川鲁金矿业有限公司茅排金矿庄前尾矿库整改设计安全专篇》</w:t>
      </w:r>
      <w:r>
        <w:rPr>
          <w:rFonts w:hint="eastAsia"/>
          <w:lang w:val="en-US" w:eastAsia="zh-CN"/>
        </w:rPr>
        <w:t>。</w:t>
      </w:r>
    </w:p>
    <w:p w14:paraId="1942DCB0">
      <w:pPr>
        <w:bidi w:val="0"/>
        <w:rPr>
          <w:rFonts w:hint="default" w:ascii="Times New Roman" w:hAnsi="Times New Roman" w:cs="Times New Roman"/>
          <w:lang w:val="en-US" w:eastAsia="zh-CN"/>
        </w:rPr>
      </w:pPr>
      <w:r>
        <w:rPr>
          <w:rFonts w:hint="default" w:ascii="Times New Roman" w:hAnsi="Times New Roman" w:cs="Times New Roman"/>
          <w:lang w:val="en-US" w:eastAsia="zh-CN"/>
        </w:rPr>
        <w:t>2013年6月进行了施工图变更</w:t>
      </w:r>
      <w:r>
        <w:rPr>
          <w:rFonts w:hint="eastAsia" w:ascii="Times New Roman" w:hAnsi="Times New Roman" w:cs="Times New Roman"/>
          <w:lang w:val="en-US" w:eastAsia="zh-CN"/>
        </w:rPr>
        <w:t>。</w:t>
      </w:r>
    </w:p>
    <w:p w14:paraId="7B8C8803">
      <w:pPr>
        <w:bidi w:val="0"/>
        <w:rPr>
          <w:rFonts w:hint="default" w:ascii="Times New Roman" w:hAnsi="Times New Roman" w:cs="Times New Roman"/>
          <w:lang w:val="en-US" w:eastAsia="zh-CN"/>
        </w:rPr>
      </w:pPr>
      <w:r>
        <w:rPr>
          <w:rFonts w:hint="default" w:ascii="Times New Roman" w:hAnsi="Times New Roman" w:cs="Times New Roman"/>
          <w:lang w:val="en-US" w:eastAsia="zh-CN"/>
        </w:rPr>
        <w:t>2013年12月江西省赣华安全科技有限公司编写安全验收评价报告</w:t>
      </w:r>
      <w:r>
        <w:rPr>
          <w:rFonts w:hint="eastAsia" w:ascii="Times New Roman" w:hAnsi="Times New Roman" w:cs="Times New Roman"/>
          <w:lang w:val="en-US" w:eastAsia="zh-CN"/>
        </w:rPr>
        <w:t>。</w:t>
      </w:r>
    </w:p>
    <w:p w14:paraId="0244014A">
      <w:pPr>
        <w:bidi w:val="0"/>
        <w:rPr>
          <w:rFonts w:hint="default"/>
          <w:lang w:val="en-US" w:eastAsia="zh-CN"/>
        </w:rPr>
      </w:pPr>
      <w:r>
        <w:rPr>
          <w:rFonts w:hint="default" w:ascii="Times New Roman" w:hAnsi="Times New Roman" w:cs="Times New Roman"/>
          <w:lang w:val="en-US" w:eastAsia="zh-CN"/>
        </w:rPr>
        <w:t>2014年通过了原江西省抚州市安全生产监督管理局组织的尾矿库安全设施竣工验收，并于2014年04月25日首次取得了原江西省抚州市安全生产监督管理局颁发的《安全生产许可证》。</w:t>
      </w:r>
    </w:p>
    <w:p w14:paraId="2CDF38D6">
      <w:pPr>
        <w:adjustRightInd/>
        <w:snapToGrid/>
        <w:spacing w:line="600" w:lineRule="exact"/>
        <w:ind w:firstLine="0" w:firstLineChars="0"/>
        <w:jc w:val="center"/>
        <w:rPr>
          <w:rFonts w:hint="default" w:ascii="Times New Roman" w:hAnsi="Times New Roman" w:eastAsia="宋体" w:cs="Times New Roman"/>
          <w:color w:val="auto"/>
          <w:sz w:val="28"/>
          <w:szCs w:val="32"/>
        </w:rPr>
      </w:pPr>
      <w:r>
        <w:rPr>
          <w:rFonts w:hint="default" w:ascii="Times New Roman" w:hAnsi="Times New Roman" w:eastAsia="宋体" w:cs="Times New Roman"/>
          <w:color w:val="auto"/>
          <w:sz w:val="28"/>
          <w:szCs w:val="32"/>
          <w:lang w:val="en-US" w:eastAsia="zh-CN"/>
        </w:rPr>
        <w:t>表2.</w:t>
      </w:r>
      <w:r>
        <w:rPr>
          <w:rFonts w:hint="eastAsia" w:ascii="Times New Roman" w:hAnsi="Times New Roman" w:cs="Times New Roman"/>
          <w:color w:val="auto"/>
          <w:sz w:val="28"/>
          <w:szCs w:val="32"/>
          <w:lang w:val="en-US" w:eastAsia="zh-CN"/>
        </w:rPr>
        <w:t>1.2</w:t>
      </w:r>
      <w:r>
        <w:rPr>
          <w:rFonts w:hint="default" w:ascii="Times New Roman" w:hAnsi="Times New Roman" w:eastAsia="宋体" w:cs="Times New Roman"/>
          <w:color w:val="auto"/>
          <w:sz w:val="28"/>
          <w:szCs w:val="32"/>
          <w:lang w:val="en-US" w:eastAsia="zh-CN"/>
        </w:rPr>
        <w:t>-1</w:t>
      </w:r>
      <w:r>
        <w:rPr>
          <w:rFonts w:hint="default" w:ascii="Times New Roman" w:hAnsi="Times New Roman" w:eastAsia="宋体" w:cs="Times New Roman"/>
          <w:color w:val="auto"/>
          <w:sz w:val="28"/>
          <w:szCs w:val="32"/>
        </w:rPr>
        <w:t>尾矿库基本情况表</w:t>
      </w:r>
    </w:p>
    <w:tbl>
      <w:tblPr>
        <w:tblStyle w:val="17"/>
        <w:tblW w:w="4984"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1994"/>
        <w:gridCol w:w="3848"/>
        <w:gridCol w:w="1879"/>
        <w:gridCol w:w="1352"/>
      </w:tblGrid>
      <w:tr w14:paraId="163288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26" w:hRule="atLeast"/>
          <w:jc w:val="center"/>
        </w:trPr>
        <w:tc>
          <w:tcPr>
            <w:tcW w:w="1099" w:type="pct"/>
            <w:tcBorders>
              <w:tl2br w:val="nil"/>
              <w:tr2bl w:val="nil"/>
            </w:tcBorders>
            <w:noWrap w:val="0"/>
            <w:tcMar>
              <w:top w:w="15" w:type="dxa"/>
              <w:left w:w="15" w:type="dxa"/>
              <w:bottom w:w="0" w:type="dxa"/>
              <w:right w:w="15" w:type="dxa"/>
            </w:tcMar>
            <w:vAlign w:val="center"/>
          </w:tcPr>
          <w:p w14:paraId="4B4374CB">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企业名称</w:t>
            </w:r>
          </w:p>
        </w:tc>
        <w:tc>
          <w:tcPr>
            <w:tcW w:w="3900" w:type="pct"/>
            <w:gridSpan w:val="3"/>
            <w:tcBorders>
              <w:tl2br w:val="nil"/>
              <w:tr2bl w:val="nil"/>
            </w:tcBorders>
            <w:noWrap w:val="0"/>
            <w:tcMar>
              <w:top w:w="15" w:type="dxa"/>
              <w:left w:w="15" w:type="dxa"/>
              <w:bottom w:w="0" w:type="dxa"/>
              <w:right w:w="15" w:type="dxa"/>
            </w:tcMar>
            <w:vAlign w:val="center"/>
          </w:tcPr>
          <w:p w14:paraId="404BE16D">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江西临川鲁金矿业有限公司</w:t>
            </w:r>
          </w:p>
        </w:tc>
      </w:tr>
      <w:tr w14:paraId="328BEA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2" w:hRule="atLeast"/>
          <w:jc w:val="center"/>
        </w:trPr>
        <w:tc>
          <w:tcPr>
            <w:tcW w:w="1099" w:type="pct"/>
            <w:tcBorders>
              <w:tl2br w:val="nil"/>
              <w:tr2bl w:val="nil"/>
            </w:tcBorders>
            <w:noWrap w:val="0"/>
            <w:tcMar>
              <w:top w:w="15" w:type="dxa"/>
              <w:left w:w="15" w:type="dxa"/>
              <w:bottom w:w="0" w:type="dxa"/>
              <w:right w:w="15" w:type="dxa"/>
            </w:tcMar>
            <w:vAlign w:val="center"/>
          </w:tcPr>
          <w:p w14:paraId="1221724D">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选矿厂名称</w:t>
            </w:r>
          </w:p>
        </w:tc>
        <w:tc>
          <w:tcPr>
            <w:tcW w:w="2120" w:type="pct"/>
            <w:tcBorders>
              <w:tl2br w:val="nil"/>
              <w:tr2bl w:val="nil"/>
            </w:tcBorders>
            <w:noWrap w:val="0"/>
            <w:tcMar>
              <w:top w:w="15" w:type="dxa"/>
              <w:left w:w="15" w:type="dxa"/>
              <w:bottom w:w="0" w:type="dxa"/>
              <w:right w:w="15" w:type="dxa"/>
            </w:tcMar>
            <w:vAlign w:val="center"/>
          </w:tcPr>
          <w:p w14:paraId="218B5217">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茅排金矿</w:t>
            </w:r>
          </w:p>
        </w:tc>
        <w:tc>
          <w:tcPr>
            <w:tcW w:w="1035" w:type="pct"/>
            <w:tcBorders>
              <w:tl2br w:val="nil"/>
              <w:tr2bl w:val="nil"/>
            </w:tcBorders>
            <w:noWrap w:val="0"/>
            <w:tcMar>
              <w:top w:w="15" w:type="dxa"/>
              <w:left w:w="15" w:type="dxa"/>
              <w:bottom w:w="0" w:type="dxa"/>
              <w:right w:w="15" w:type="dxa"/>
            </w:tcMar>
            <w:vAlign w:val="center"/>
          </w:tcPr>
          <w:p w14:paraId="061B382B">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*行业类别</w:t>
            </w:r>
          </w:p>
        </w:tc>
        <w:tc>
          <w:tcPr>
            <w:tcW w:w="744" w:type="pct"/>
            <w:tcBorders>
              <w:tl2br w:val="nil"/>
              <w:tr2bl w:val="nil"/>
            </w:tcBorders>
            <w:noWrap w:val="0"/>
            <w:tcMar>
              <w:top w:w="15" w:type="dxa"/>
              <w:left w:w="15" w:type="dxa"/>
              <w:bottom w:w="0" w:type="dxa"/>
              <w:right w:w="15" w:type="dxa"/>
            </w:tcMar>
            <w:vAlign w:val="center"/>
          </w:tcPr>
          <w:p w14:paraId="48542BD4">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有色</w:t>
            </w:r>
          </w:p>
        </w:tc>
      </w:tr>
      <w:tr w14:paraId="039AD4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59" w:hRule="atLeast"/>
          <w:jc w:val="center"/>
        </w:trPr>
        <w:tc>
          <w:tcPr>
            <w:tcW w:w="1099" w:type="pct"/>
            <w:tcBorders>
              <w:tl2br w:val="nil"/>
              <w:tr2bl w:val="nil"/>
            </w:tcBorders>
            <w:noWrap w:val="0"/>
            <w:tcMar>
              <w:top w:w="15" w:type="dxa"/>
              <w:left w:w="15" w:type="dxa"/>
              <w:bottom w:w="0" w:type="dxa"/>
              <w:right w:w="15" w:type="dxa"/>
            </w:tcMar>
            <w:vAlign w:val="center"/>
          </w:tcPr>
          <w:p w14:paraId="0F4C6F26">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尾矿库名称</w:t>
            </w:r>
          </w:p>
        </w:tc>
        <w:tc>
          <w:tcPr>
            <w:tcW w:w="2120" w:type="pct"/>
            <w:tcBorders>
              <w:tl2br w:val="nil"/>
              <w:tr2bl w:val="nil"/>
            </w:tcBorders>
            <w:noWrap w:val="0"/>
            <w:tcMar>
              <w:top w:w="15" w:type="dxa"/>
              <w:left w:w="15" w:type="dxa"/>
              <w:bottom w:w="0" w:type="dxa"/>
              <w:right w:w="15" w:type="dxa"/>
            </w:tcMar>
            <w:vAlign w:val="center"/>
          </w:tcPr>
          <w:p w14:paraId="13C0E9E7">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江西临川鲁金矿业有限公司茅排金矿庄前尾矿库</w:t>
            </w:r>
          </w:p>
        </w:tc>
        <w:tc>
          <w:tcPr>
            <w:tcW w:w="1035" w:type="pct"/>
            <w:tcBorders>
              <w:tl2br w:val="nil"/>
              <w:tr2bl w:val="nil"/>
            </w:tcBorders>
            <w:noWrap w:val="0"/>
            <w:tcMar>
              <w:top w:w="15" w:type="dxa"/>
              <w:left w:w="15" w:type="dxa"/>
              <w:bottom w:w="0" w:type="dxa"/>
              <w:right w:w="15" w:type="dxa"/>
            </w:tcMar>
            <w:vAlign w:val="center"/>
          </w:tcPr>
          <w:p w14:paraId="51AD92FE">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投产时间</w:t>
            </w:r>
          </w:p>
        </w:tc>
        <w:tc>
          <w:tcPr>
            <w:tcW w:w="744" w:type="pct"/>
            <w:tcBorders>
              <w:tl2br w:val="nil"/>
              <w:tr2bl w:val="nil"/>
            </w:tcBorders>
            <w:noWrap w:val="0"/>
            <w:tcMar>
              <w:top w:w="15" w:type="dxa"/>
              <w:left w:w="15" w:type="dxa"/>
              <w:bottom w:w="0" w:type="dxa"/>
              <w:right w:w="15" w:type="dxa"/>
            </w:tcMar>
            <w:vAlign w:val="center"/>
          </w:tcPr>
          <w:p w14:paraId="76200BDD">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201</w:t>
            </w:r>
            <w:r>
              <w:rPr>
                <w:rFonts w:hint="eastAsia" w:ascii="Times New Roman" w:hAnsi="Times New Roman" w:cs="Times New Roman"/>
                <w:color w:val="auto"/>
                <w:sz w:val="21"/>
                <w:szCs w:val="21"/>
                <w:lang w:val="en-US" w:eastAsia="zh-CN"/>
              </w:rPr>
              <w:t>4</w:t>
            </w:r>
            <w:r>
              <w:rPr>
                <w:rFonts w:hint="default" w:ascii="Times New Roman" w:hAnsi="Times New Roman" w:eastAsia="宋体" w:cs="Times New Roman"/>
                <w:color w:val="auto"/>
                <w:sz w:val="21"/>
                <w:szCs w:val="21"/>
              </w:rPr>
              <w:t>年</w:t>
            </w:r>
            <w:r>
              <w:rPr>
                <w:rFonts w:hint="eastAsia" w:ascii="Times New Roman" w:hAnsi="Times New Roman" w:cs="Times New Roman"/>
                <w:color w:val="auto"/>
                <w:sz w:val="21"/>
                <w:szCs w:val="21"/>
                <w:lang w:val="en-US" w:eastAsia="zh-CN"/>
              </w:rPr>
              <w:t>4</w:t>
            </w:r>
            <w:r>
              <w:rPr>
                <w:rFonts w:hint="default" w:ascii="Times New Roman" w:hAnsi="Times New Roman" w:eastAsia="宋体" w:cs="Times New Roman"/>
                <w:color w:val="auto"/>
                <w:sz w:val="21"/>
                <w:szCs w:val="21"/>
              </w:rPr>
              <w:t>月</w:t>
            </w:r>
          </w:p>
        </w:tc>
      </w:tr>
      <w:tr w14:paraId="75D941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16" w:hRule="atLeast"/>
          <w:jc w:val="center"/>
        </w:trPr>
        <w:tc>
          <w:tcPr>
            <w:tcW w:w="1099" w:type="pct"/>
            <w:tcBorders>
              <w:tl2br w:val="nil"/>
              <w:tr2bl w:val="nil"/>
            </w:tcBorders>
            <w:noWrap w:val="0"/>
            <w:tcMar>
              <w:top w:w="15" w:type="dxa"/>
              <w:left w:w="15" w:type="dxa"/>
              <w:bottom w:w="0" w:type="dxa"/>
              <w:right w:w="15" w:type="dxa"/>
            </w:tcMar>
            <w:vAlign w:val="center"/>
          </w:tcPr>
          <w:p w14:paraId="1A0152C5">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尾矿库地址</w:t>
            </w:r>
          </w:p>
        </w:tc>
        <w:tc>
          <w:tcPr>
            <w:tcW w:w="2120" w:type="pct"/>
            <w:tcBorders>
              <w:tl2br w:val="nil"/>
              <w:tr2bl w:val="nil"/>
            </w:tcBorders>
            <w:noWrap w:val="0"/>
            <w:tcMar>
              <w:top w:w="15" w:type="dxa"/>
              <w:left w:w="15" w:type="dxa"/>
              <w:bottom w:w="0" w:type="dxa"/>
              <w:right w:w="15" w:type="dxa"/>
            </w:tcMar>
            <w:vAlign w:val="center"/>
          </w:tcPr>
          <w:p w14:paraId="6919F451">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抚州市临川区茅排乡</w:t>
            </w:r>
          </w:p>
        </w:tc>
        <w:tc>
          <w:tcPr>
            <w:tcW w:w="1035" w:type="pct"/>
            <w:tcBorders>
              <w:tl2br w:val="nil"/>
              <w:tr2bl w:val="nil"/>
            </w:tcBorders>
            <w:noWrap w:val="0"/>
            <w:tcMar>
              <w:top w:w="15" w:type="dxa"/>
              <w:left w:w="15" w:type="dxa"/>
              <w:bottom w:w="0" w:type="dxa"/>
              <w:right w:w="15" w:type="dxa"/>
            </w:tcMar>
            <w:vAlign w:val="center"/>
          </w:tcPr>
          <w:p w14:paraId="1200604C">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尾矿库服务期限</w:t>
            </w:r>
          </w:p>
        </w:tc>
        <w:tc>
          <w:tcPr>
            <w:tcW w:w="744" w:type="pct"/>
            <w:tcBorders>
              <w:tl2br w:val="nil"/>
              <w:tr2bl w:val="nil"/>
            </w:tcBorders>
            <w:noWrap w:val="0"/>
            <w:tcMar>
              <w:top w:w="15" w:type="dxa"/>
              <w:left w:w="15" w:type="dxa"/>
              <w:bottom w:w="0" w:type="dxa"/>
              <w:right w:w="15" w:type="dxa"/>
            </w:tcMar>
            <w:vAlign w:val="center"/>
          </w:tcPr>
          <w:p w14:paraId="57249FD2">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val="en-US" w:eastAsia="zh-CN"/>
              </w:rPr>
              <w:t>5.17</w:t>
            </w:r>
            <w:r>
              <w:rPr>
                <w:rFonts w:hint="default" w:ascii="Times New Roman" w:hAnsi="Times New Roman" w:eastAsia="宋体" w:cs="Times New Roman"/>
                <w:color w:val="auto"/>
                <w:sz w:val="21"/>
                <w:szCs w:val="21"/>
              </w:rPr>
              <w:t>年</w:t>
            </w:r>
          </w:p>
        </w:tc>
      </w:tr>
      <w:tr w14:paraId="3FF17B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07" w:hRule="atLeast"/>
          <w:jc w:val="center"/>
        </w:trPr>
        <w:tc>
          <w:tcPr>
            <w:tcW w:w="1099" w:type="pct"/>
            <w:tcBorders>
              <w:tl2br w:val="nil"/>
              <w:tr2bl w:val="nil"/>
            </w:tcBorders>
            <w:noWrap w:val="0"/>
            <w:tcMar>
              <w:top w:w="15" w:type="dxa"/>
              <w:left w:w="15" w:type="dxa"/>
              <w:bottom w:w="0" w:type="dxa"/>
              <w:right w:w="15" w:type="dxa"/>
            </w:tcMar>
            <w:vAlign w:val="center"/>
          </w:tcPr>
          <w:p w14:paraId="130623B3">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*设计单位</w:t>
            </w:r>
          </w:p>
        </w:tc>
        <w:tc>
          <w:tcPr>
            <w:tcW w:w="2120" w:type="pct"/>
            <w:tcBorders>
              <w:tl2br w:val="nil"/>
              <w:tr2bl w:val="nil"/>
            </w:tcBorders>
            <w:noWrap w:val="0"/>
            <w:tcMar>
              <w:top w:w="15" w:type="dxa"/>
              <w:left w:w="15" w:type="dxa"/>
              <w:bottom w:w="0" w:type="dxa"/>
              <w:right w:w="15" w:type="dxa"/>
            </w:tcMar>
            <w:vAlign w:val="center"/>
          </w:tcPr>
          <w:p w14:paraId="6A72E458">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金建工程设计有限公司</w:t>
            </w:r>
          </w:p>
        </w:tc>
        <w:tc>
          <w:tcPr>
            <w:tcW w:w="1035" w:type="pct"/>
            <w:tcBorders>
              <w:tl2br w:val="nil"/>
              <w:tr2bl w:val="nil"/>
            </w:tcBorders>
            <w:noWrap w:val="0"/>
            <w:tcMar>
              <w:top w:w="15" w:type="dxa"/>
              <w:left w:w="15" w:type="dxa"/>
              <w:bottom w:w="0" w:type="dxa"/>
              <w:right w:w="15" w:type="dxa"/>
            </w:tcMar>
            <w:vAlign w:val="center"/>
          </w:tcPr>
          <w:p w14:paraId="4E8E5FA1">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*设计审批单位</w:t>
            </w:r>
          </w:p>
        </w:tc>
        <w:tc>
          <w:tcPr>
            <w:tcW w:w="744" w:type="pct"/>
            <w:tcBorders>
              <w:tl2br w:val="nil"/>
              <w:tr2bl w:val="nil"/>
            </w:tcBorders>
            <w:noWrap w:val="0"/>
            <w:tcMar>
              <w:top w:w="15" w:type="dxa"/>
              <w:left w:w="15" w:type="dxa"/>
              <w:bottom w:w="0" w:type="dxa"/>
              <w:right w:w="15" w:type="dxa"/>
            </w:tcMar>
            <w:vAlign w:val="center"/>
          </w:tcPr>
          <w:p w14:paraId="66EC4B49">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江西省抚州市安全生产监督管理局</w:t>
            </w:r>
          </w:p>
        </w:tc>
      </w:tr>
      <w:tr w14:paraId="4F7B1F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1099" w:type="pct"/>
            <w:tcBorders>
              <w:tl2br w:val="nil"/>
              <w:tr2bl w:val="nil"/>
            </w:tcBorders>
            <w:noWrap w:val="0"/>
            <w:tcMar>
              <w:top w:w="15" w:type="dxa"/>
              <w:left w:w="15" w:type="dxa"/>
              <w:bottom w:w="0" w:type="dxa"/>
              <w:right w:w="15" w:type="dxa"/>
            </w:tcMar>
            <w:vAlign w:val="center"/>
          </w:tcPr>
          <w:p w14:paraId="3E5A4BC8">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设计库容（万m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w:t>
            </w:r>
          </w:p>
        </w:tc>
        <w:tc>
          <w:tcPr>
            <w:tcW w:w="2120" w:type="pct"/>
            <w:tcBorders>
              <w:tl2br w:val="nil"/>
              <w:tr2bl w:val="nil"/>
            </w:tcBorders>
            <w:noWrap w:val="0"/>
            <w:tcMar>
              <w:top w:w="15" w:type="dxa"/>
              <w:left w:w="15" w:type="dxa"/>
              <w:bottom w:w="0" w:type="dxa"/>
              <w:right w:w="15" w:type="dxa"/>
            </w:tcMar>
            <w:vAlign w:val="center"/>
          </w:tcPr>
          <w:p w14:paraId="3AE8E7AC">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12.02</w:t>
            </w:r>
          </w:p>
        </w:tc>
        <w:tc>
          <w:tcPr>
            <w:tcW w:w="1035" w:type="pct"/>
            <w:tcBorders>
              <w:tl2br w:val="nil"/>
              <w:tr2bl w:val="nil"/>
            </w:tcBorders>
            <w:noWrap w:val="0"/>
            <w:tcMar>
              <w:top w:w="15" w:type="dxa"/>
              <w:left w:w="15" w:type="dxa"/>
              <w:bottom w:w="0" w:type="dxa"/>
              <w:right w:w="15" w:type="dxa"/>
            </w:tcMar>
            <w:vAlign w:val="center"/>
          </w:tcPr>
          <w:p w14:paraId="5C881E6E">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已堆积库容（万m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w:t>
            </w:r>
          </w:p>
        </w:tc>
        <w:tc>
          <w:tcPr>
            <w:tcW w:w="744" w:type="pct"/>
            <w:tcBorders>
              <w:tl2br w:val="nil"/>
              <w:tr2bl w:val="nil"/>
            </w:tcBorders>
            <w:noWrap w:val="0"/>
            <w:tcMar>
              <w:top w:w="15" w:type="dxa"/>
              <w:left w:w="15" w:type="dxa"/>
              <w:bottom w:w="0" w:type="dxa"/>
              <w:right w:w="15" w:type="dxa"/>
            </w:tcMar>
            <w:vAlign w:val="center"/>
          </w:tcPr>
          <w:p w14:paraId="68A5EE20">
            <w:pPr>
              <w:adjustRightInd/>
              <w:snapToGrid/>
              <w:spacing w:line="4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8.8</w:t>
            </w:r>
          </w:p>
        </w:tc>
      </w:tr>
      <w:tr w14:paraId="45D110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24" w:hRule="atLeast"/>
          <w:jc w:val="center"/>
        </w:trPr>
        <w:tc>
          <w:tcPr>
            <w:tcW w:w="1099" w:type="pct"/>
            <w:tcBorders>
              <w:tl2br w:val="nil"/>
              <w:tr2bl w:val="nil"/>
            </w:tcBorders>
            <w:noWrap w:val="0"/>
            <w:tcMar>
              <w:top w:w="15" w:type="dxa"/>
              <w:left w:w="15" w:type="dxa"/>
              <w:bottom w:w="0" w:type="dxa"/>
              <w:right w:w="15" w:type="dxa"/>
            </w:tcMar>
            <w:vAlign w:val="center"/>
          </w:tcPr>
          <w:p w14:paraId="123CB52A">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*设计主坝高（m）</w:t>
            </w:r>
          </w:p>
        </w:tc>
        <w:tc>
          <w:tcPr>
            <w:tcW w:w="2120" w:type="pct"/>
            <w:tcBorders>
              <w:tl2br w:val="nil"/>
              <w:tr2bl w:val="nil"/>
            </w:tcBorders>
            <w:noWrap w:val="0"/>
            <w:tcMar>
              <w:top w:w="15" w:type="dxa"/>
              <w:left w:w="15" w:type="dxa"/>
              <w:bottom w:w="0" w:type="dxa"/>
              <w:right w:w="15" w:type="dxa"/>
            </w:tcMar>
            <w:vAlign w:val="center"/>
          </w:tcPr>
          <w:p w14:paraId="48BE8AEB">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21.0</w:t>
            </w:r>
          </w:p>
        </w:tc>
        <w:tc>
          <w:tcPr>
            <w:tcW w:w="1035" w:type="pct"/>
            <w:tcBorders>
              <w:tl2br w:val="nil"/>
              <w:tr2bl w:val="nil"/>
            </w:tcBorders>
            <w:noWrap w:val="0"/>
            <w:tcMar>
              <w:top w:w="15" w:type="dxa"/>
              <w:left w:w="15" w:type="dxa"/>
              <w:bottom w:w="0" w:type="dxa"/>
              <w:right w:w="15" w:type="dxa"/>
            </w:tcMar>
            <w:vAlign w:val="center"/>
          </w:tcPr>
          <w:p w14:paraId="1D9CC3A5">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*目前主坝高（m）</w:t>
            </w:r>
          </w:p>
        </w:tc>
        <w:tc>
          <w:tcPr>
            <w:tcW w:w="744" w:type="pct"/>
            <w:tcBorders>
              <w:tl2br w:val="nil"/>
              <w:tr2bl w:val="nil"/>
            </w:tcBorders>
            <w:noWrap w:val="0"/>
            <w:tcMar>
              <w:top w:w="15" w:type="dxa"/>
              <w:left w:w="15" w:type="dxa"/>
              <w:bottom w:w="0" w:type="dxa"/>
              <w:right w:w="15" w:type="dxa"/>
            </w:tcMar>
            <w:vAlign w:val="center"/>
          </w:tcPr>
          <w:p w14:paraId="245EDE64">
            <w:pPr>
              <w:adjustRightInd/>
              <w:snapToGrid/>
              <w:spacing w:line="4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21.0</w:t>
            </w:r>
          </w:p>
        </w:tc>
      </w:tr>
      <w:tr w14:paraId="558BF0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27" w:hRule="atLeast"/>
          <w:jc w:val="center"/>
        </w:trPr>
        <w:tc>
          <w:tcPr>
            <w:tcW w:w="1099" w:type="pct"/>
            <w:tcBorders>
              <w:tl2br w:val="nil"/>
              <w:tr2bl w:val="nil"/>
            </w:tcBorders>
            <w:noWrap w:val="0"/>
            <w:tcMar>
              <w:top w:w="15" w:type="dxa"/>
              <w:left w:w="15" w:type="dxa"/>
              <w:bottom w:w="0" w:type="dxa"/>
              <w:right w:w="15" w:type="dxa"/>
            </w:tcMar>
            <w:vAlign w:val="center"/>
          </w:tcPr>
          <w:p w14:paraId="76D29357">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*尾矿库等别</w:t>
            </w:r>
          </w:p>
        </w:tc>
        <w:tc>
          <w:tcPr>
            <w:tcW w:w="2120" w:type="pct"/>
            <w:tcBorders>
              <w:tl2br w:val="nil"/>
              <w:tr2bl w:val="nil"/>
            </w:tcBorders>
            <w:noWrap w:val="0"/>
            <w:tcMar>
              <w:top w:w="15" w:type="dxa"/>
              <w:left w:w="15" w:type="dxa"/>
              <w:bottom w:w="0" w:type="dxa"/>
              <w:right w:w="15" w:type="dxa"/>
            </w:tcMar>
            <w:vAlign w:val="center"/>
          </w:tcPr>
          <w:p w14:paraId="4342C32E">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val="en-US" w:eastAsia="zh-CN"/>
              </w:rPr>
              <w:t>五</w:t>
            </w:r>
            <w:r>
              <w:rPr>
                <w:rFonts w:hint="default" w:ascii="Times New Roman" w:hAnsi="Times New Roman" w:eastAsia="宋体" w:cs="Times New Roman"/>
                <w:color w:val="auto"/>
                <w:sz w:val="21"/>
                <w:szCs w:val="21"/>
              </w:rPr>
              <w:t>等</w:t>
            </w:r>
          </w:p>
        </w:tc>
        <w:tc>
          <w:tcPr>
            <w:tcW w:w="1035" w:type="pct"/>
            <w:tcBorders>
              <w:tl2br w:val="nil"/>
              <w:tr2bl w:val="nil"/>
            </w:tcBorders>
            <w:noWrap w:val="0"/>
            <w:tcMar>
              <w:top w:w="15" w:type="dxa"/>
              <w:left w:w="15" w:type="dxa"/>
              <w:bottom w:w="0" w:type="dxa"/>
              <w:right w:w="15" w:type="dxa"/>
            </w:tcMar>
            <w:vAlign w:val="center"/>
          </w:tcPr>
          <w:p w14:paraId="61A90F77">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*库型</w:t>
            </w:r>
          </w:p>
        </w:tc>
        <w:tc>
          <w:tcPr>
            <w:tcW w:w="744" w:type="pct"/>
            <w:tcBorders>
              <w:tl2br w:val="nil"/>
              <w:tr2bl w:val="nil"/>
            </w:tcBorders>
            <w:noWrap w:val="0"/>
            <w:tcMar>
              <w:top w:w="15" w:type="dxa"/>
              <w:left w:w="15" w:type="dxa"/>
              <w:bottom w:w="0" w:type="dxa"/>
              <w:right w:w="15" w:type="dxa"/>
            </w:tcMar>
            <w:vAlign w:val="center"/>
          </w:tcPr>
          <w:p w14:paraId="4CB299EE">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山谷型</w:t>
            </w:r>
          </w:p>
        </w:tc>
      </w:tr>
      <w:tr w14:paraId="32DE30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1099" w:type="pct"/>
            <w:tcBorders>
              <w:tl2br w:val="nil"/>
              <w:tr2bl w:val="nil"/>
            </w:tcBorders>
            <w:noWrap w:val="0"/>
            <w:tcMar>
              <w:top w:w="15" w:type="dxa"/>
              <w:left w:w="15" w:type="dxa"/>
              <w:bottom w:w="0" w:type="dxa"/>
              <w:right w:w="15" w:type="dxa"/>
            </w:tcMar>
            <w:vAlign w:val="center"/>
          </w:tcPr>
          <w:p w14:paraId="647F7FA6">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*安全度分类</w:t>
            </w:r>
          </w:p>
        </w:tc>
        <w:tc>
          <w:tcPr>
            <w:tcW w:w="2120" w:type="pct"/>
            <w:tcBorders>
              <w:tl2br w:val="nil"/>
              <w:tr2bl w:val="nil"/>
            </w:tcBorders>
            <w:noWrap w:val="0"/>
            <w:tcMar>
              <w:top w:w="15" w:type="dxa"/>
              <w:left w:w="15" w:type="dxa"/>
              <w:bottom w:w="0" w:type="dxa"/>
              <w:right w:w="15" w:type="dxa"/>
            </w:tcMar>
            <w:vAlign w:val="center"/>
          </w:tcPr>
          <w:p w14:paraId="5AA0F76C">
            <w:pPr>
              <w:adjustRightInd/>
              <w:snapToGrid/>
              <w:spacing w:line="4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正常库</w:t>
            </w:r>
          </w:p>
        </w:tc>
        <w:tc>
          <w:tcPr>
            <w:tcW w:w="1035" w:type="pct"/>
            <w:tcBorders>
              <w:tl2br w:val="nil"/>
              <w:tr2bl w:val="nil"/>
            </w:tcBorders>
            <w:noWrap w:val="0"/>
            <w:tcMar>
              <w:top w:w="15" w:type="dxa"/>
              <w:left w:w="15" w:type="dxa"/>
              <w:bottom w:w="0" w:type="dxa"/>
              <w:right w:w="15" w:type="dxa"/>
            </w:tcMar>
            <w:vAlign w:val="center"/>
          </w:tcPr>
          <w:p w14:paraId="432153D8">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*筑坝方式</w:t>
            </w:r>
          </w:p>
        </w:tc>
        <w:tc>
          <w:tcPr>
            <w:tcW w:w="744" w:type="pct"/>
            <w:tcBorders>
              <w:tl2br w:val="nil"/>
              <w:tr2bl w:val="nil"/>
            </w:tcBorders>
            <w:noWrap w:val="0"/>
            <w:tcMar>
              <w:top w:w="15" w:type="dxa"/>
              <w:left w:w="15" w:type="dxa"/>
              <w:bottom w:w="0" w:type="dxa"/>
              <w:right w:w="15" w:type="dxa"/>
            </w:tcMar>
            <w:vAlign w:val="center"/>
          </w:tcPr>
          <w:p w14:paraId="06D8D4A0">
            <w:pPr>
              <w:adjustRightInd/>
              <w:snapToGrid/>
              <w:spacing w:line="400" w:lineRule="exact"/>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一次性筑坝</w:t>
            </w:r>
          </w:p>
        </w:tc>
      </w:tr>
      <w:tr w14:paraId="7FEB9F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4" w:hRule="atLeast"/>
          <w:jc w:val="center"/>
        </w:trPr>
        <w:tc>
          <w:tcPr>
            <w:tcW w:w="1099" w:type="pct"/>
            <w:tcBorders>
              <w:tl2br w:val="nil"/>
              <w:tr2bl w:val="nil"/>
            </w:tcBorders>
            <w:noWrap w:val="0"/>
            <w:tcMar>
              <w:top w:w="15" w:type="dxa"/>
              <w:left w:w="15" w:type="dxa"/>
              <w:bottom w:w="0" w:type="dxa"/>
              <w:right w:w="15" w:type="dxa"/>
            </w:tcMar>
            <w:vAlign w:val="center"/>
          </w:tcPr>
          <w:p w14:paraId="4CE293AD">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*是否获得安全生产许可证</w:t>
            </w:r>
          </w:p>
        </w:tc>
        <w:tc>
          <w:tcPr>
            <w:tcW w:w="2120" w:type="pct"/>
            <w:tcBorders>
              <w:tl2br w:val="nil"/>
              <w:tr2bl w:val="nil"/>
            </w:tcBorders>
            <w:noWrap w:val="0"/>
            <w:tcMar>
              <w:top w:w="15" w:type="dxa"/>
              <w:left w:w="15" w:type="dxa"/>
              <w:bottom w:w="0" w:type="dxa"/>
              <w:right w:w="15" w:type="dxa"/>
            </w:tcMar>
            <w:vAlign w:val="center"/>
          </w:tcPr>
          <w:p w14:paraId="62C11BB3">
            <w:pPr>
              <w:adjustRightInd/>
              <w:snapToGrid/>
              <w:spacing w:line="4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已获得，</w:t>
            </w:r>
            <w:r>
              <w:rPr>
                <w:rFonts w:hint="default" w:ascii="Times New Roman" w:hAnsi="Times New Roman" w:cs="Times New Roman"/>
                <w:color w:val="auto"/>
                <w:sz w:val="21"/>
                <w:szCs w:val="21"/>
              </w:rPr>
              <w:t>证书编号为：（赣）FM安许证字[2023]F003号</w:t>
            </w:r>
          </w:p>
        </w:tc>
        <w:tc>
          <w:tcPr>
            <w:tcW w:w="1035" w:type="pct"/>
            <w:tcBorders>
              <w:tl2br w:val="nil"/>
              <w:tr2bl w:val="nil"/>
            </w:tcBorders>
            <w:noWrap w:val="0"/>
            <w:tcMar>
              <w:top w:w="15" w:type="dxa"/>
              <w:left w:w="15" w:type="dxa"/>
              <w:bottom w:w="0" w:type="dxa"/>
              <w:right w:w="15" w:type="dxa"/>
            </w:tcMar>
            <w:vAlign w:val="center"/>
          </w:tcPr>
          <w:p w14:paraId="7B3DAC15">
            <w:pPr>
              <w:adjustRightInd/>
              <w:snapToGrid/>
              <w:spacing w:line="400" w:lineRule="exact"/>
              <w:ind w:firstLine="0" w:firstLineChars="0"/>
              <w:jc w:val="center"/>
              <w:rPr>
                <w:rFonts w:hint="default" w:ascii="Times New Roman" w:hAnsi="Times New Roman" w:eastAsia="宋体" w:cs="Times New Roman"/>
                <w:bCs/>
                <w:color w:val="auto"/>
                <w:sz w:val="21"/>
                <w:szCs w:val="21"/>
              </w:rPr>
            </w:pPr>
          </w:p>
        </w:tc>
        <w:tc>
          <w:tcPr>
            <w:tcW w:w="744" w:type="pct"/>
            <w:tcBorders>
              <w:tl2br w:val="nil"/>
              <w:tr2bl w:val="nil"/>
            </w:tcBorders>
            <w:noWrap w:val="0"/>
            <w:tcMar>
              <w:top w:w="15" w:type="dxa"/>
              <w:left w:w="15" w:type="dxa"/>
              <w:bottom w:w="0" w:type="dxa"/>
              <w:right w:w="15" w:type="dxa"/>
            </w:tcMar>
            <w:vAlign w:val="center"/>
          </w:tcPr>
          <w:p w14:paraId="6FB859A1">
            <w:pPr>
              <w:adjustRightInd/>
              <w:snapToGrid/>
              <w:spacing w:line="400" w:lineRule="exact"/>
              <w:ind w:firstLine="0" w:firstLineChars="0"/>
              <w:jc w:val="center"/>
              <w:rPr>
                <w:rFonts w:hint="default" w:ascii="Times New Roman" w:hAnsi="Times New Roman" w:eastAsia="宋体" w:cs="Times New Roman"/>
                <w:color w:val="auto"/>
                <w:sz w:val="21"/>
                <w:szCs w:val="21"/>
              </w:rPr>
            </w:pPr>
          </w:p>
        </w:tc>
      </w:tr>
      <w:tr w14:paraId="6CB62C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4" w:hRule="atLeast"/>
          <w:jc w:val="center"/>
        </w:trPr>
        <w:tc>
          <w:tcPr>
            <w:tcW w:w="1099" w:type="pct"/>
            <w:tcBorders>
              <w:tl2br w:val="nil"/>
              <w:tr2bl w:val="nil"/>
            </w:tcBorders>
            <w:noWrap w:val="0"/>
            <w:tcMar>
              <w:top w:w="15" w:type="dxa"/>
              <w:left w:w="15" w:type="dxa"/>
              <w:bottom w:w="0" w:type="dxa"/>
              <w:right w:w="15" w:type="dxa"/>
            </w:tcMar>
            <w:vAlign w:val="center"/>
          </w:tcPr>
          <w:p w14:paraId="5FE7BDD4">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尾矿库及库区存在的</w:t>
            </w:r>
          </w:p>
          <w:p w14:paraId="0861FAC2">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主要安全问题</w:t>
            </w:r>
          </w:p>
        </w:tc>
        <w:tc>
          <w:tcPr>
            <w:tcW w:w="3900" w:type="pct"/>
            <w:gridSpan w:val="3"/>
            <w:tcBorders>
              <w:tl2br w:val="nil"/>
              <w:tr2bl w:val="nil"/>
            </w:tcBorders>
            <w:noWrap w:val="0"/>
            <w:tcMar>
              <w:top w:w="15" w:type="dxa"/>
              <w:left w:w="15" w:type="dxa"/>
              <w:bottom w:w="0" w:type="dxa"/>
              <w:right w:w="15" w:type="dxa"/>
            </w:tcMar>
            <w:vAlign w:val="center"/>
          </w:tcPr>
          <w:p w14:paraId="1C3744F2">
            <w:pPr>
              <w:adjustRightInd/>
              <w:snapToGrid/>
              <w:spacing w:line="4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无</w:t>
            </w:r>
          </w:p>
        </w:tc>
      </w:tr>
      <w:tr w14:paraId="130BC1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4" w:hRule="atLeast"/>
          <w:jc w:val="center"/>
        </w:trPr>
        <w:tc>
          <w:tcPr>
            <w:tcW w:w="1099" w:type="pct"/>
            <w:tcBorders>
              <w:tl2br w:val="nil"/>
              <w:tr2bl w:val="nil"/>
            </w:tcBorders>
            <w:noWrap w:val="0"/>
            <w:tcMar>
              <w:top w:w="15" w:type="dxa"/>
              <w:left w:w="15" w:type="dxa"/>
              <w:bottom w:w="0" w:type="dxa"/>
              <w:right w:w="15" w:type="dxa"/>
            </w:tcMar>
            <w:vAlign w:val="center"/>
          </w:tcPr>
          <w:p w14:paraId="714DCD72">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近九年生产安全</w:t>
            </w:r>
          </w:p>
          <w:p w14:paraId="662A37D5">
            <w:pPr>
              <w:adjustRightInd/>
              <w:snapToGrid/>
              <w:spacing w:line="40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事故情况</w:t>
            </w:r>
          </w:p>
        </w:tc>
        <w:tc>
          <w:tcPr>
            <w:tcW w:w="3900" w:type="pct"/>
            <w:gridSpan w:val="3"/>
            <w:tcBorders>
              <w:tl2br w:val="nil"/>
              <w:tr2bl w:val="nil"/>
            </w:tcBorders>
            <w:noWrap w:val="0"/>
            <w:tcMar>
              <w:top w:w="15" w:type="dxa"/>
              <w:left w:w="15" w:type="dxa"/>
              <w:bottom w:w="0" w:type="dxa"/>
              <w:right w:w="15" w:type="dxa"/>
            </w:tcMar>
            <w:vAlign w:val="center"/>
          </w:tcPr>
          <w:p w14:paraId="02CE9318">
            <w:pPr>
              <w:adjustRightInd/>
              <w:snapToGrid/>
              <w:spacing w:line="400" w:lineRule="exact"/>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近九年来未发生生产安全事故</w:t>
            </w:r>
          </w:p>
        </w:tc>
      </w:tr>
    </w:tbl>
    <w:p w14:paraId="6C94B992">
      <w:pPr>
        <w:pStyle w:val="5"/>
        <w:bidi w:val="0"/>
        <w:rPr>
          <w:rFonts w:hint="default" w:ascii="Times New Roman" w:hAnsi="Times New Roman" w:cs="Times New Roman"/>
          <w:color w:val="auto"/>
          <w:lang w:val="en-US" w:eastAsia="zh-CN"/>
        </w:rPr>
      </w:pPr>
      <w:bookmarkStart w:id="34" w:name="_Toc14568"/>
      <w:r>
        <w:rPr>
          <w:rFonts w:hint="default" w:ascii="Times New Roman" w:hAnsi="Times New Roman" w:cs="Times New Roman"/>
          <w:color w:val="auto"/>
          <w:lang w:val="en-US" w:eastAsia="zh-CN"/>
        </w:rPr>
        <w:t>2.1.3地理位置及交通</w:t>
      </w:r>
      <w:bookmarkEnd w:id="34"/>
    </w:p>
    <w:p w14:paraId="30AF228E">
      <w:pPr>
        <w:bidi w:val="0"/>
        <w:rPr>
          <w:rFonts w:hint="default" w:ascii="Times New Roman" w:hAnsi="Times New Roman" w:cs="Times New Roman"/>
          <w:lang w:val="en-US" w:eastAsia="zh-CN"/>
        </w:rPr>
      </w:pPr>
      <w:r>
        <w:rPr>
          <w:rFonts w:hint="eastAsia" w:ascii="Times New Roman" w:hAnsi="Times New Roman" w:cs="Times New Roman"/>
          <w:lang w:val="en-US" w:eastAsia="zh-CN"/>
        </w:rPr>
        <w:t>该</w:t>
      </w:r>
      <w:r>
        <w:rPr>
          <w:rFonts w:hint="default" w:ascii="Times New Roman" w:hAnsi="Times New Roman" w:cs="Times New Roman"/>
          <w:lang w:val="en-US" w:eastAsia="zh-CN"/>
        </w:rPr>
        <w:t>尾矿库位于临川区茅排乡庄前村委境内，行政区划所在地属茅排乡，距茅排乡4km，坝址中心点坐标为X:3059790</w:t>
      </w:r>
      <w:r>
        <w:rPr>
          <w:rFonts w:hint="eastAsia" w:ascii="Times New Roman" w:hAnsi="Times New Roman" w:cs="Times New Roman"/>
          <w:lang w:val="en-US" w:eastAsia="zh-CN"/>
        </w:rPr>
        <w:t>，</w:t>
      </w:r>
      <w:r>
        <w:rPr>
          <w:rFonts w:hint="default" w:ascii="Times New Roman" w:hAnsi="Times New Roman" w:cs="Times New Roman"/>
          <w:lang w:val="en-US" w:eastAsia="zh-CN"/>
        </w:rPr>
        <w:t>Y:38549017。库区有简易公路与抚州市东馆镇和南城县连接，距南城县25km，至抚州市55km，周边有福银高速、S212和S312省道，位置交通方便。</w:t>
      </w:r>
    </w:p>
    <w:p w14:paraId="3D7185E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lang w:val="en-US" w:eastAsia="zh-CN"/>
        </w:rPr>
      </w:pPr>
      <w:r>
        <w:rPr>
          <w:color w:val="auto"/>
        </w:rPr>
        <w:drawing>
          <wp:inline distT="0" distB="0" distL="114300" distR="114300">
            <wp:extent cx="5088890" cy="3512185"/>
            <wp:effectExtent l="0" t="0" r="16510" b="12065"/>
            <wp:docPr id="1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3"/>
                    <pic:cNvPicPr>
                      <a:picLocks noChangeAspect="1"/>
                    </pic:cNvPicPr>
                  </pic:nvPicPr>
                  <pic:blipFill>
                    <a:blip r:embed="rId11"/>
                    <a:srcRect t="539" r="890"/>
                    <a:stretch>
                      <a:fillRect/>
                    </a:stretch>
                  </pic:blipFill>
                  <pic:spPr>
                    <a:xfrm>
                      <a:off x="0" y="0"/>
                      <a:ext cx="5088890" cy="3512185"/>
                    </a:xfrm>
                    <a:prstGeom prst="rect">
                      <a:avLst/>
                    </a:prstGeom>
                    <a:noFill/>
                    <a:ln>
                      <a:noFill/>
                    </a:ln>
                  </pic:spPr>
                </pic:pic>
              </a:graphicData>
            </a:graphic>
          </wp:inline>
        </w:drawing>
      </w:r>
    </w:p>
    <w:p w14:paraId="0495994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图2.1</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-1交通位置图</w:t>
      </w:r>
    </w:p>
    <w:p w14:paraId="3F3533A3">
      <w:pPr>
        <w:pStyle w:val="4"/>
        <w:bidi w:val="0"/>
        <w:rPr>
          <w:rFonts w:hint="default" w:ascii="Times New Roman" w:hAnsi="Times New Roman" w:cs="Times New Roman"/>
          <w:color w:val="auto"/>
          <w:lang w:val="en-US" w:eastAsia="zh-CN"/>
        </w:rPr>
      </w:pPr>
      <w:bookmarkStart w:id="35" w:name="_Toc20917"/>
      <w:r>
        <w:rPr>
          <w:rFonts w:hint="default" w:ascii="Times New Roman" w:hAnsi="Times New Roman" w:cs="Times New Roman"/>
          <w:color w:val="auto"/>
          <w:lang w:val="en-US" w:eastAsia="zh-CN"/>
        </w:rPr>
        <w:t>2.2周边环境</w:t>
      </w:r>
      <w:bookmarkEnd w:id="35"/>
    </w:p>
    <w:p w14:paraId="145FA5CD">
      <w:pPr>
        <w:bidi w:val="0"/>
        <w:rPr>
          <w:rFonts w:hint="default" w:ascii="Times New Roman" w:hAnsi="Times New Roman" w:cs="Times New Roman"/>
          <w:lang w:val="en-US" w:eastAsia="zh-CN"/>
        </w:rPr>
      </w:pPr>
      <w:r>
        <w:rPr>
          <w:rFonts w:hint="eastAsia" w:ascii="Times New Roman" w:hAnsi="Times New Roman" w:cs="Times New Roman"/>
          <w:lang w:val="en-US" w:eastAsia="zh-CN"/>
        </w:rPr>
        <w:t>该</w:t>
      </w:r>
      <w:r>
        <w:rPr>
          <w:rFonts w:hint="default" w:ascii="Times New Roman" w:hAnsi="Times New Roman" w:cs="Times New Roman"/>
          <w:lang w:val="en-US" w:eastAsia="zh-CN"/>
        </w:rPr>
        <w:t>尾矿库位于临川区茅排乡庄前村委境内，距茅排乡4km。库区有简易公路可通往206国道</w:t>
      </w:r>
      <w:r>
        <w:rPr>
          <w:rFonts w:hint="eastAsia" w:ascii="Times New Roman" w:hAnsi="Times New Roman" w:cs="Times New Roman"/>
          <w:lang w:val="en-US" w:eastAsia="zh-CN"/>
        </w:rPr>
        <w:t>。</w:t>
      </w:r>
    </w:p>
    <w:p w14:paraId="7C960416">
      <w:pPr>
        <w:bidi w:val="0"/>
        <w:rPr>
          <w:rFonts w:hint="default" w:ascii="Times New Roman" w:hAnsi="Times New Roman" w:cs="Times New Roman"/>
          <w:lang w:val="en-US" w:eastAsia="zh-CN"/>
        </w:rPr>
      </w:pPr>
      <w:r>
        <w:rPr>
          <w:rFonts w:hint="default" w:ascii="Times New Roman" w:hAnsi="Times New Roman" w:cs="Times New Roman"/>
          <w:lang w:val="en-US" w:eastAsia="zh-CN"/>
        </w:rPr>
        <w:t>尾矿库北侧简易公路为矿区炸药库</w:t>
      </w:r>
      <w:r>
        <w:rPr>
          <w:rFonts w:hint="eastAsia" w:ascii="Times New Roman" w:hAnsi="Times New Roman" w:cs="Times New Roman"/>
          <w:lang w:val="en-US" w:eastAsia="zh-CN"/>
        </w:rPr>
        <w:t>，根据《</w:t>
      </w:r>
      <w:r>
        <w:rPr>
          <w:rFonts w:hint="default" w:ascii="Times New Roman" w:hAnsi="Times New Roman" w:cs="Times New Roman"/>
          <w:lang w:val="en-US" w:eastAsia="zh-CN"/>
        </w:rPr>
        <w:t>江西临川鲁金矿业有限公司民用爆炸物品储存库安全现状评价报告</w:t>
      </w:r>
      <w:r>
        <w:rPr>
          <w:rFonts w:hint="eastAsia" w:ascii="Times New Roman" w:hAnsi="Times New Roman" w:cs="Times New Roman"/>
          <w:lang w:val="en-US" w:eastAsia="zh-CN"/>
        </w:rPr>
        <w:t>》，</w:t>
      </w:r>
      <w:r>
        <w:rPr>
          <w:rFonts w:hint="default" w:ascii="Times New Roman" w:hAnsi="Times New Roman" w:cs="Times New Roman"/>
          <w:lang w:val="en-US" w:eastAsia="zh-CN"/>
        </w:rPr>
        <w:t>江西临川鲁金矿业有限公司按要求制定了各项规章制度，民用爆炸物品储存库内、外部安全距离符合安全要求，爆炸物品储存库的安全设施配备齐全并满足民爆炸器材储存的安全需要，治安防范系统运行有效。</w:t>
      </w:r>
    </w:p>
    <w:p w14:paraId="197E42A9">
      <w:pPr>
        <w:bidi w:val="0"/>
        <w:rPr>
          <w:rFonts w:hint="default" w:ascii="Times New Roman" w:hAnsi="Times New Roman" w:cs="Times New Roman"/>
          <w:color w:val="auto"/>
          <w:lang w:val="en-US" w:eastAsia="zh-CN"/>
        </w:rPr>
      </w:pPr>
      <w:r>
        <w:rPr>
          <w:rFonts w:hint="default" w:ascii="Times New Roman" w:hAnsi="Times New Roman" w:cs="Times New Roman"/>
          <w:lang w:val="en-US" w:eastAsia="zh-CN"/>
        </w:rPr>
        <w:t>尾矿坝右侧上游300m处，为矿方办公区及选厂</w:t>
      </w:r>
      <w:r>
        <w:rPr>
          <w:rFonts w:hint="eastAsia" w:ascii="Times New Roman" w:hAnsi="Times New Roman" w:cs="Times New Roman"/>
          <w:lang w:val="en-US" w:eastAsia="zh-CN"/>
        </w:rPr>
        <w:t>；</w:t>
      </w:r>
      <w:r>
        <w:rPr>
          <w:rFonts w:hint="default" w:ascii="Times New Roman" w:hAnsi="Times New Roman" w:cs="Times New Roman"/>
          <w:lang w:val="en-US" w:eastAsia="zh-CN"/>
        </w:rPr>
        <w:t>尾矿库下游1000m 范围内无工矿企业、居民、大型水源地、水产基地，下游有一条出入矿区的矿区公路</w:t>
      </w:r>
      <w:r>
        <w:rPr>
          <w:rFonts w:hint="eastAsia" w:ascii="Times New Roman" w:hAnsi="Times New Roman" w:cs="Times New Roman"/>
          <w:lang w:val="en-US" w:eastAsia="zh-CN"/>
        </w:rPr>
        <w:t>。尾矿库周边</w:t>
      </w:r>
      <w:r>
        <w:rPr>
          <w:rFonts w:hint="default" w:ascii="Times New Roman" w:hAnsi="Times New Roman" w:cs="Times New Roman"/>
          <w:lang w:val="en-US" w:eastAsia="zh-CN"/>
        </w:rPr>
        <w:t>无全国和省重点保护名胜古迹，地质构造简单，无不良</w:t>
      </w:r>
      <w:r>
        <w:rPr>
          <w:rFonts w:hint="default" w:ascii="Times New Roman" w:hAnsi="Times New Roman" w:cs="Times New Roman"/>
          <w:color w:val="auto"/>
          <w:lang w:val="en-US" w:eastAsia="zh-CN"/>
        </w:rPr>
        <w:t>地质现象，库区范围内不压矿。</w:t>
      </w:r>
    </w:p>
    <w:p w14:paraId="4396FC9C">
      <w:pPr>
        <w:bidi w:val="0"/>
        <w:rPr>
          <w:rFonts w:hint="default" w:ascii="Times New Roman" w:hAnsi="Times New Roman" w:cs="Times New Roman"/>
          <w:color w:val="auto"/>
          <w:lang w:val="en-US" w:eastAsia="zh-CN"/>
        </w:rPr>
      </w:pPr>
      <w:r>
        <w:rPr>
          <w:position w:val="-216"/>
        </w:rPr>
        <w:drawing>
          <wp:inline distT="0" distB="0" distL="0" distR="0">
            <wp:extent cx="5201920" cy="6858000"/>
            <wp:effectExtent l="0" t="0" r="17780" b="0"/>
            <wp:docPr id="1" name="IM 28"/>
            <wp:cNvGraphicFramePr/>
            <a:graphic xmlns:a="http://schemas.openxmlformats.org/drawingml/2006/main">
              <a:graphicData uri="http://schemas.openxmlformats.org/drawingml/2006/picture">
                <pic:pic xmlns:pic="http://schemas.openxmlformats.org/drawingml/2006/picture">
                  <pic:nvPicPr>
                    <pic:cNvPr id="1" name="IM 28"/>
                    <pic:cNvPicPr/>
                  </pic:nvPicPr>
                  <pic:blipFill>
                    <a:blip r:embed="rId12"/>
                    <a:stretch>
                      <a:fillRect/>
                    </a:stretch>
                  </pic:blipFill>
                  <pic:spPr>
                    <a:xfrm>
                      <a:off x="0" y="0"/>
                      <a:ext cx="5202173" cy="6858634"/>
                    </a:xfrm>
                    <a:prstGeom prst="rect">
                      <a:avLst/>
                    </a:prstGeom>
                  </pic:spPr>
                </pic:pic>
              </a:graphicData>
            </a:graphic>
          </wp:inline>
        </w:drawing>
      </w:r>
    </w:p>
    <w:p w14:paraId="3D75178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图2.2-1周边环境图</w:t>
      </w:r>
    </w:p>
    <w:p w14:paraId="3F0BC459">
      <w:pPr>
        <w:pStyle w:val="4"/>
        <w:bidi w:val="0"/>
        <w:rPr>
          <w:rFonts w:hint="default" w:ascii="Times New Roman" w:hAnsi="Times New Roman" w:cs="Times New Roman"/>
          <w:color w:val="auto"/>
          <w:lang w:val="en-US" w:eastAsia="zh-CN"/>
        </w:rPr>
      </w:pPr>
      <w:bookmarkStart w:id="36" w:name="_Toc19651"/>
      <w:r>
        <w:rPr>
          <w:rFonts w:hint="default" w:ascii="Times New Roman" w:hAnsi="Times New Roman" w:cs="Times New Roman"/>
          <w:color w:val="auto"/>
          <w:lang w:val="en-US" w:eastAsia="zh-CN"/>
        </w:rPr>
        <w:t>2.3自然条件</w:t>
      </w:r>
      <w:bookmarkEnd w:id="36"/>
    </w:p>
    <w:p w14:paraId="49F78A89">
      <w:pPr>
        <w:pStyle w:val="5"/>
        <w:bidi w:val="0"/>
        <w:rPr>
          <w:rFonts w:hint="default" w:ascii="Times New Roman" w:hAnsi="Times New Roman" w:cs="Times New Roman"/>
          <w:color w:val="auto"/>
          <w:lang w:val="en-US" w:eastAsia="zh-CN"/>
        </w:rPr>
      </w:pPr>
      <w:bookmarkStart w:id="37" w:name="_Toc5350"/>
      <w:r>
        <w:rPr>
          <w:rFonts w:hint="default" w:ascii="Times New Roman" w:hAnsi="Times New Roman" w:cs="Times New Roman"/>
          <w:color w:val="auto"/>
          <w:lang w:val="en-US" w:eastAsia="zh-CN"/>
        </w:rPr>
        <w:t>2.3.1自然条件</w:t>
      </w:r>
      <w:bookmarkEnd w:id="37"/>
    </w:p>
    <w:p w14:paraId="17F25D90">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区属亚热带季风湿热带多雨气候，具有温暖潮湿多雨的气候特征，四季降雨极不平衡，年均气温18°-21℃，绝对最低气温-5.5℃。10月至来年1月为枯水期，结冰期为12月至来年1月，历年冻结最大深度0.022m。根据南城县气象局(1990～2003年)气象资料，3～6月份为丰水期，其降雨量占全年的56.09%，8～9月多雷阵雨。多年平均降雨量1642毫米，最多年降雨量2308.3mm(1997年)，最少年降雨量903.4mm(1963年)，多年平均水面蒸发量1547.4mm。区内降雨以降雨集中且强度大为特征。</w:t>
      </w:r>
    </w:p>
    <w:p w14:paraId="7EDD75A1">
      <w:pPr>
        <w:pStyle w:val="4"/>
        <w:bidi w:val="0"/>
        <w:rPr>
          <w:rFonts w:hint="default" w:ascii="Times New Roman" w:hAnsi="Times New Roman" w:cs="Times New Roman"/>
          <w:color w:val="auto"/>
          <w:lang w:val="en-US" w:eastAsia="zh-CN"/>
        </w:rPr>
      </w:pPr>
      <w:bookmarkStart w:id="38" w:name="_Toc13192"/>
      <w:r>
        <w:rPr>
          <w:rFonts w:hint="default" w:ascii="Times New Roman" w:hAnsi="Times New Roman" w:cs="Times New Roman"/>
          <w:color w:val="auto"/>
          <w:lang w:val="en-US" w:eastAsia="zh-CN"/>
        </w:rPr>
        <w:t>2.4工程地质条件</w:t>
      </w:r>
      <w:bookmarkEnd w:id="38"/>
    </w:p>
    <w:p w14:paraId="6F207D34">
      <w:pPr>
        <w:pStyle w:val="5"/>
        <w:bidi w:val="0"/>
        <w:rPr>
          <w:rFonts w:hint="default" w:ascii="Times New Roman" w:hAnsi="Times New Roman" w:cs="Times New Roman"/>
          <w:color w:val="auto"/>
          <w:lang w:val="en-US" w:eastAsia="zh-CN"/>
        </w:rPr>
      </w:pPr>
      <w:bookmarkStart w:id="39" w:name="_Toc18862"/>
      <w:r>
        <w:rPr>
          <w:rFonts w:hint="default" w:ascii="Times New Roman" w:hAnsi="Times New Roman" w:cs="Times New Roman"/>
          <w:color w:val="auto"/>
          <w:lang w:val="en-US" w:eastAsia="zh-CN"/>
        </w:rPr>
        <w:t>2.4.1地形、地貌</w:t>
      </w:r>
      <w:bookmarkEnd w:id="39"/>
    </w:p>
    <w:p w14:paraId="0B90AAB9">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库区属低山丘陵区，构造作用为主，长期强烈剥蚀切割作用形成的低山丘陵，山坡植被发育。组成尾矿库为一条东西向“U”字型沟谷，坝址地面最低标高(排水棱体下部)214.07m。尾矿库北侧山体海拔标高361.34m，南侧山体标高312.30～383.24m ，山坡坡度20°～28°，局部较陡，地势由西向东降低。</w:t>
      </w:r>
    </w:p>
    <w:p w14:paraId="61789732">
      <w:pPr>
        <w:pStyle w:val="5"/>
        <w:bidi w:val="0"/>
        <w:rPr>
          <w:rFonts w:hint="default"/>
          <w:lang w:val="en-US" w:eastAsia="zh-CN"/>
        </w:rPr>
      </w:pPr>
      <w:bookmarkStart w:id="40" w:name="_Toc27529"/>
      <w:r>
        <w:rPr>
          <w:rFonts w:hint="default"/>
          <w:lang w:val="en-US" w:eastAsia="zh-CN"/>
        </w:rPr>
        <w:t>2.</w:t>
      </w:r>
      <w:r>
        <w:rPr>
          <w:rFonts w:hint="eastAsia"/>
          <w:lang w:val="en-US" w:eastAsia="zh-CN"/>
        </w:rPr>
        <w:t>4.2</w:t>
      </w:r>
      <w:r>
        <w:rPr>
          <w:rFonts w:hint="default"/>
          <w:lang w:val="en-US" w:eastAsia="zh-CN"/>
        </w:rPr>
        <w:t>地质概况</w:t>
      </w:r>
      <w:bookmarkEnd w:id="40"/>
    </w:p>
    <w:p w14:paraId="0A68FC71">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1.地层岩性</w:t>
      </w:r>
    </w:p>
    <w:p w14:paraId="6B724E8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库区内出露地层有第四系残坡积层（Q）和震旦系下统周潭群变质岩类(Z</w:t>
      </w:r>
      <w:r>
        <w:rPr>
          <w:rFonts w:hint="default" w:ascii="Times New Roman" w:hAnsi="Times New Roman" w:cs="Times New Roman"/>
          <w:color w:val="auto"/>
          <w:vertAlign w:val="subscript"/>
          <w:lang w:val="en-US" w:eastAsia="zh-CN"/>
        </w:rPr>
        <w:t>1zh</w:t>
      </w:r>
      <w:r>
        <w:rPr>
          <w:rFonts w:hint="default" w:ascii="Times New Roman" w:hAnsi="Times New Roman" w:cs="Times New Roman"/>
          <w:color w:val="auto"/>
          <w:vertAlign w:val="superscript"/>
          <w:lang w:val="en-US" w:eastAsia="zh-CN"/>
        </w:rPr>
        <w:t>1</w:t>
      </w:r>
      <w:r>
        <w:rPr>
          <w:rFonts w:hint="default" w:ascii="Times New Roman" w:hAnsi="Times New Roman" w:cs="Times New Roman"/>
          <w:color w:val="auto"/>
          <w:lang w:val="en-US" w:eastAsia="zh-CN"/>
        </w:rPr>
        <w:t>)，坝体填土（Q</w:t>
      </w:r>
      <w:r>
        <w:rPr>
          <w:rFonts w:hint="default" w:ascii="Times New Roman" w:hAnsi="Times New Roman" w:cs="Times New Roman"/>
          <w:color w:val="auto"/>
          <w:vertAlign w:val="subscript"/>
          <w:lang w:val="en-US" w:eastAsia="zh-CN"/>
        </w:rPr>
        <w:t>4</w:t>
      </w:r>
      <w:r>
        <w:rPr>
          <w:rFonts w:hint="default" w:ascii="Times New Roman" w:hAnsi="Times New Roman" w:cs="Times New Roman"/>
          <w:color w:val="auto"/>
          <w:vertAlign w:val="superscript"/>
          <w:lang w:val="en-US" w:eastAsia="zh-CN"/>
        </w:rPr>
        <w:t>ml</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现将不同岩性自上而下分述如下：</w:t>
      </w:r>
    </w:p>
    <w:p w14:paraId="278BB508">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①坝体填土（Q</w:t>
      </w:r>
      <w:r>
        <w:rPr>
          <w:rFonts w:hint="default" w:ascii="Times New Roman" w:hAnsi="Times New Roman" w:cs="Times New Roman"/>
          <w:color w:val="auto"/>
          <w:vertAlign w:val="subscript"/>
          <w:lang w:val="en-US" w:eastAsia="zh-CN"/>
        </w:rPr>
        <w:t>4</w:t>
      </w:r>
      <w:r>
        <w:rPr>
          <w:rFonts w:hint="default" w:ascii="Times New Roman" w:hAnsi="Times New Roman" w:cs="Times New Roman"/>
          <w:color w:val="auto"/>
          <w:vertAlign w:val="superscript"/>
          <w:lang w:val="en-US" w:eastAsia="zh-CN"/>
        </w:rPr>
        <w:t>ml</w:t>
      </w:r>
      <w:r>
        <w:rPr>
          <w:rFonts w:hint="default" w:ascii="Times New Roman" w:hAnsi="Times New Roman" w:cs="Times New Roman"/>
          <w:color w:val="auto"/>
          <w:lang w:val="en-US" w:eastAsia="zh-CN"/>
        </w:rPr>
        <w:t>）：为一次性堆筑碾压而成，岩性由含碎石粉质粘土组成，经碾压呈可塑状，碎石含量占10%左右。坝体顶面标高232.43m，坝体至坝基标高212.07m，垂直厚度20.36m。</w:t>
      </w:r>
    </w:p>
    <w:p w14:paraId="08486107">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②腐植土</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4</w:t>
      </w:r>
      <w:r>
        <w:rPr>
          <w:rFonts w:hint="default" w:ascii="Times New Roman" w:hAnsi="Times New Roman" w:cs="Times New Roman"/>
          <w:color w:val="auto"/>
          <w:vertAlign w:val="superscript"/>
          <w:lang w:val="en-US" w:eastAsia="zh-CN"/>
        </w:rPr>
        <w:t>pb</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：分布在山坡及沟谷中表层，岩性由粉质粘土组成，结构疏松，见大量植物根系，厚度0.7～2.2m，呈软塑状态。</w:t>
      </w:r>
    </w:p>
    <w:p w14:paraId="384D2533">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③粉质粘土</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4</w:t>
      </w:r>
      <w:r>
        <w:rPr>
          <w:rFonts w:hint="default" w:ascii="Times New Roman" w:hAnsi="Times New Roman" w:cs="Times New Roman"/>
          <w:color w:val="auto"/>
          <w:vertAlign w:val="superscript"/>
          <w:lang w:val="en-US" w:eastAsia="zh-CN"/>
        </w:rPr>
        <w:t>del</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：含少量碎石，紫红色，手搓呈细条，有砂粒感，含少量变质砂岩碎块。干强度中等，韧性中等，呈可塑状态。厚度1.5～4.8m，平均厚度3.66m。</w:t>
      </w:r>
    </w:p>
    <w:p w14:paraId="310FBAD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④-Ⅰ强风化变质砂岩</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Z</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vertAlign w:val="superscript"/>
          <w:lang w:val="en-US" w:eastAsia="zh-CN"/>
        </w:rPr>
        <w:t>zh1</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：变余细粒结构，块状构造。矿物成份己 被破坏，保留原岩结构，手捏可粉碎，锤轻击易碎，伏于残坡积层(粉质粘土)之下，二者界线清楚，为软弱岩体。闭合裂隙较发育，被铁质、泥质充填。厚度2.5～4.8m，平均厚度3.56m。</w:t>
      </w:r>
    </w:p>
    <w:p w14:paraId="4D58DBDE">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④-Ⅱ 中风化带变质砂岩Z</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vertAlign w:val="superscript"/>
          <w:lang w:val="en-US" w:eastAsia="zh-CN"/>
        </w:rPr>
        <w:t>zh1</w:t>
      </w:r>
      <w:r>
        <w:rPr>
          <w:rFonts w:hint="default" w:ascii="Times New Roman" w:hAnsi="Times New Roman" w:cs="Times New Roman"/>
          <w:color w:val="auto"/>
          <w:lang w:val="en-US" w:eastAsia="zh-CN"/>
        </w:rPr>
        <w:t>：埋藏于强风化带之下，浅灰～灰绿黄色，裂隙不发育，偶见闭合裂隙被铁质充填，锤击可碎，为半坚硬～坚硬岩体，层间结合力好。控制厚度2.1～3.6m，平均控制厚度2.79m，本层与强风化带呈过渡关系，界线尚清。岩石完整性好，岩体质量指标RQD为92%。</w:t>
      </w:r>
    </w:p>
    <w:p w14:paraId="33E0BD5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2.地层构造</w:t>
      </w:r>
    </w:p>
    <w:p w14:paraId="26A876C4">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库坝区位于华南褶皱系赣西南坳陷与武夷山隆起交接地带，属荷田—徐坊剪切挤压带上，以褶皱为主，断裂以北东向为主，断裂构造较为发育。本区新构造运动不强烈，区域稳定性较好。</w:t>
      </w:r>
    </w:p>
    <w:p w14:paraId="624342D8">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3.库区水文地质</w:t>
      </w:r>
    </w:p>
    <w:p w14:paraId="45CFEA4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1)地表水</w:t>
      </w:r>
    </w:p>
    <w:p w14:paraId="228F659B">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库区由一条狭长“U”字型沟谷组成，沟谷走向近东西向。由西向东 流向，接受大气降水的补给，具有就地补给、就地排泄的特点。在库区1.078km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集水范围内，每日平均地表迳流量3880.8m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/d，最大一次暴雨时地表迳流量234061.0m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/d</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1967年6月22日</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，最大一月连续降雨日平均地表迳流量8085.0m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/d。</w:t>
      </w:r>
    </w:p>
    <w:p w14:paraId="253AC68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2)地下水</w:t>
      </w:r>
    </w:p>
    <w:p w14:paraId="7AD6091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残坡积层孔隙水③，残坡积层遍布于山坡和洼地中，由含碎石粉质粘土组成。地下水赋存于粉质粘土中，钻探时冲洗液稍有消耗，两坝肩山坡钻孔中未见地下水位。沟谷洼地中地下水位埋深1.7～4.2m。地下水分水岭与地表水分水岭一致，地下水流向由西向东迳流，排泄到下游小溪沟中。地层透水性：粉质粘土层③根据注水试验结果W=0.021～0.042</w:t>
      </w:r>
      <w:r>
        <w:rPr>
          <w:rFonts w:hint="eastAsia" w:ascii="Times New Roman" w:hAnsi="Times New Roman" w:cs="Times New Roman"/>
          <w:color w:val="auto"/>
          <w:lang w:val="en-US" w:eastAsia="zh-CN"/>
        </w:rPr>
        <w:t>L</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（min·</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，K=3.4E-06～4.5E-05cm/s，含水性差，属弱透水层。</w:t>
      </w:r>
    </w:p>
    <w:p w14:paraId="4F511578">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风化裂隙水④-Ⅰ，强风化闭合裂隙较发育，多被泥铁质充填，注水 试验结果单位吸水量W=0.02～0.047</w:t>
      </w:r>
      <w:r>
        <w:rPr>
          <w:rFonts w:hint="eastAsia" w:ascii="Times New Roman" w:hAnsi="Times New Roman" w:cs="Times New Roman"/>
          <w:color w:val="auto"/>
          <w:lang w:val="en-US" w:eastAsia="zh-CN"/>
        </w:rPr>
        <w:t>L</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（min·</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，K=2.5E-05～7.2E-05cm/s，属弱透水岩层。</w:t>
      </w:r>
    </w:p>
    <w:p w14:paraId="2E3BCF69">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3）水质</w:t>
      </w:r>
    </w:p>
    <w:p w14:paraId="5FE98414">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环境水水质，根据茅排矿区1994年勘探报告中水质化验结果：残积 层和冲洪积层水水质类型HCO</w:t>
      </w:r>
      <w:r>
        <w:rPr>
          <w:rFonts w:hint="default" w:ascii="Times New Roman" w:hAnsi="Times New Roman" w:cs="Times New Roman"/>
          <w:color w:val="auto"/>
          <w:vertAlign w:val="subscript"/>
          <w:lang w:val="en-US" w:eastAsia="zh-CN"/>
        </w:rPr>
        <w:t>3</w:t>
      </w:r>
      <w:r>
        <w:rPr>
          <w:rFonts w:hint="default" w:ascii="Times New Roman" w:hAnsi="Times New Roman" w:cs="Times New Roman"/>
          <w:color w:val="auto"/>
          <w:vertAlign w:val="superscript"/>
          <w:lang w:val="en-US" w:eastAsia="zh-CN"/>
        </w:rPr>
        <w:t>-1</w:t>
      </w:r>
      <w:r>
        <w:rPr>
          <w:rFonts w:hint="default" w:ascii="Times New Roman" w:hAnsi="Times New Roman" w:cs="Times New Roman"/>
          <w:color w:val="auto"/>
          <w:lang w:val="en-US" w:eastAsia="zh-CN"/>
        </w:rPr>
        <w:t>-Ca</w:t>
      </w:r>
      <w:r>
        <w:rPr>
          <w:rFonts w:hint="default" w:ascii="Times New Roman" w:hAnsi="Times New Roman" w:cs="Times New Roman"/>
          <w:color w:val="auto"/>
          <w:vertAlign w:val="superscript"/>
          <w:lang w:val="en-US" w:eastAsia="zh-CN"/>
        </w:rPr>
        <w:t>+</w:t>
      </w:r>
      <w:r>
        <w:rPr>
          <w:rFonts w:hint="default" w:ascii="Times New Roman" w:hAnsi="Times New Roman" w:cs="Times New Roman"/>
          <w:color w:val="auto"/>
          <w:lang w:val="en-US" w:eastAsia="zh-CN"/>
        </w:rPr>
        <w:t>-Na</w:t>
      </w:r>
      <w:r>
        <w:rPr>
          <w:rFonts w:hint="default" w:ascii="Times New Roman" w:hAnsi="Times New Roman" w:cs="Times New Roman"/>
          <w:color w:val="auto"/>
          <w:vertAlign w:val="superscript"/>
          <w:lang w:val="en-US" w:eastAsia="zh-CN"/>
        </w:rPr>
        <w:t>+</w:t>
      </w:r>
      <w:r>
        <w:rPr>
          <w:rFonts w:hint="default" w:ascii="Times New Roman" w:hAnsi="Times New Roman" w:cs="Times New Roman"/>
          <w:color w:val="auto"/>
          <w:lang w:val="en-US" w:eastAsia="zh-CN"/>
        </w:rPr>
        <w:t>-Mg型，PH 值6.8～7.1，矿化度0.04～0.2</w:t>
      </w:r>
      <w:r>
        <w:rPr>
          <w:rFonts w:hint="eastAsia" w:ascii="Times New Roman" w:hAnsi="Times New Roman" w:cs="Times New Roman"/>
          <w:color w:val="auto"/>
          <w:lang w:val="en-US" w:eastAsia="zh-CN"/>
        </w:rPr>
        <w:t>g/L</w:t>
      </w:r>
      <w:r>
        <w:rPr>
          <w:rFonts w:hint="default" w:ascii="Times New Roman" w:hAnsi="Times New Roman" w:cs="Times New Roman"/>
          <w:color w:val="auto"/>
          <w:lang w:val="en-US" w:eastAsia="zh-CN"/>
        </w:rPr>
        <w:t>。侵蚀性评价：SO</w:t>
      </w:r>
      <w:r>
        <w:rPr>
          <w:rFonts w:hint="default" w:ascii="Times New Roman" w:hAnsi="Times New Roman" w:cs="Times New Roman"/>
          <w:color w:val="auto"/>
          <w:vertAlign w:val="subscript"/>
          <w:lang w:val="en-US" w:eastAsia="zh-CN"/>
        </w:rPr>
        <w:t>4</w:t>
      </w:r>
      <w:r>
        <w:rPr>
          <w:rFonts w:hint="eastAsia"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含量小于250</w:t>
      </w:r>
      <w:r>
        <w:rPr>
          <w:rFonts w:hint="eastAsia" w:ascii="Times New Roman" w:hAnsi="Times New Roman" w:cs="Times New Roman"/>
          <w:color w:val="auto"/>
          <w:lang w:val="en-US" w:eastAsia="zh-CN"/>
        </w:rPr>
        <w:t>mg/L</w:t>
      </w:r>
      <w:r>
        <w:rPr>
          <w:rFonts w:hint="default" w:ascii="Times New Roman" w:hAnsi="Times New Roman" w:cs="Times New Roman"/>
          <w:color w:val="auto"/>
          <w:lang w:val="en-US" w:eastAsia="zh-CN"/>
        </w:rPr>
        <w:t>，无结晶性侵蚀，对砼结构无侵蚀但对钢结构有弱侵蚀。</w:t>
      </w:r>
    </w:p>
    <w:p w14:paraId="61906CB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r>
        <w:rPr>
          <w:rFonts w:hint="eastAsia" w:ascii="Times New Roman" w:hAnsi="Times New Roman" w:cs="Times New Roman"/>
          <w:color w:val="auto"/>
          <w:lang w:val="en-US" w:eastAsia="zh-CN"/>
        </w:rPr>
        <w:t>地震及</w:t>
      </w:r>
      <w:r>
        <w:rPr>
          <w:rFonts w:hint="default" w:ascii="Times New Roman" w:hAnsi="Times New Roman" w:cs="Times New Roman"/>
          <w:color w:val="auto"/>
          <w:lang w:val="en-US" w:eastAsia="zh-CN"/>
        </w:rPr>
        <w:t>不良地质作用</w:t>
      </w:r>
    </w:p>
    <w:p w14:paraId="0FAC17D1">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本区没有地震活动的记载，按《建筑抗震设计标准》</w:t>
      </w:r>
      <w:r>
        <w:rPr>
          <w:rFonts w:hint="eastAsia" w:ascii="Times New Roman" w:hAnsi="Times New Roman" w:cs="Times New Roman"/>
          <w:color w:val="auto"/>
          <w:lang w:val="en-US" w:eastAsia="zh-CN"/>
        </w:rPr>
        <w:t>和</w:t>
      </w:r>
      <w:r>
        <w:rPr>
          <w:rFonts w:hint="default" w:ascii="Times New Roman" w:hAnsi="Times New Roman" w:cs="Times New Roman"/>
          <w:color w:val="auto"/>
          <w:lang w:val="en-US" w:eastAsia="zh-CN"/>
        </w:rPr>
        <w:t>《中国地震动参数区划图》，区域地震烈度6度，地震动峰值加速度0.05g，属于区域稳定性较好的地区。场地类别为</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Ⅱ</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类，场地土类别为中软土。</w:t>
      </w:r>
    </w:p>
    <w:p w14:paraId="789EF0F3">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库区内未发现有溶洞、人工洞穴、湿陷性土和液化土层。</w:t>
      </w:r>
    </w:p>
    <w:p w14:paraId="5011C243">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库区山坡坡度20°～28°，植被较发育，历史上未发生过滑坡、坍塌、沉陷、泥石流等不良地质现象，区域稳定性和坝基稳定性较好。</w:t>
      </w:r>
    </w:p>
    <w:p w14:paraId="5F3CEDD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4.库区岩土工程分析与评价</w:t>
      </w:r>
    </w:p>
    <w:p w14:paraId="693BA78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1）坝区工程地质评价</w:t>
      </w:r>
    </w:p>
    <w:p w14:paraId="63D6FFB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①坝区岸坡稳定性评价</w:t>
      </w:r>
    </w:p>
    <w:p w14:paraId="123FBC6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坝区岸坡地形较缓，两岸地形坡度为20°～28°，局部稍陡，植被发育，覆盖良好，坝区第四系覆盖层厚1.5～4.8m，下伏强～中风化变质砂岩带，岩石工程强度高。坝区岸坡土石混合物为主。经野外调查，岸坡未发生过坍塌、滑坡、沉陷、泥石流等不良地质现象，坝区岸坡基本稳定。</w:t>
      </w:r>
    </w:p>
    <w:p w14:paraId="667BB7E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②坝体稳定性评价</w:t>
      </w:r>
    </w:p>
    <w:p w14:paraId="0CCA39D0">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已建坝体由含碎石粉质粘土组成，经碾压呈软塑～可塑状，坝体本身固结性较紧密，其力学强度满足要求，未见有坡面渗漏、裂缝、沉陷、变形等不良现象。</w:t>
      </w:r>
    </w:p>
    <w:p w14:paraId="6400CC19">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坝体持力层建基面为粉质粘土层，下伏变质岩，岩体结构面产状均较陡，不存在缓倾角结构面，坝基浅层滑动的可能性小。另外，坝基岩 体结构面难于组合成滑移体，坝体下游又不存在陡立临空面，因此，坝 基不具备深层滑动的条件。坝基下伏第四系粉质粘土，第四系地层在坝体自重的压密固结作用下，沉降变形渐趋稳定，坝基变形问题小，土坝为“柔性坝”，坝体变形影响较小。坝基土层承载力特征值fak=185kPa，强度满足坝体抗滑稳定要求。</w:t>
      </w:r>
    </w:p>
    <w:p w14:paraId="2E500F42">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2）坝基渗漏分析</w:t>
      </w:r>
    </w:p>
    <w:p w14:paraId="28110C9D">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坝基为第四系残坡积粉质粘土，据现场注水试验结果，渗透系数К=3.4×10</w:t>
      </w:r>
      <w:r>
        <w:rPr>
          <w:rFonts w:hint="default" w:ascii="Times New Roman" w:hAnsi="Times New Roman" w:cs="Times New Roman"/>
          <w:color w:val="auto"/>
          <w:vertAlign w:val="superscript"/>
          <w:lang w:val="en-US" w:eastAsia="zh-CN"/>
        </w:rPr>
        <w:t>-6</w:t>
      </w:r>
      <w:r>
        <w:rPr>
          <w:rFonts w:hint="default" w:ascii="Times New Roman" w:hAnsi="Times New Roman" w:cs="Times New Roman"/>
          <w:color w:val="auto"/>
          <w:lang w:val="en-US" w:eastAsia="zh-CN"/>
        </w:rPr>
        <w:t>～4.5×10</w:t>
      </w:r>
      <w:r>
        <w:rPr>
          <w:rFonts w:hint="default" w:ascii="Times New Roman" w:hAnsi="Times New Roman" w:cs="Times New Roman"/>
          <w:color w:val="auto"/>
          <w:vertAlign w:val="superscript"/>
          <w:lang w:val="en-US" w:eastAsia="zh-CN"/>
        </w:rPr>
        <w:t>-5</w:t>
      </w:r>
      <w:r>
        <w:rPr>
          <w:rFonts w:hint="default" w:ascii="Times New Roman" w:hAnsi="Times New Roman" w:cs="Times New Roman"/>
          <w:color w:val="auto"/>
          <w:lang w:val="en-US" w:eastAsia="zh-CN"/>
        </w:rPr>
        <w:t>cm/s，属弱透水性；下伏强风化变质岩，渗透系数К=2.5×10</w:t>
      </w:r>
      <w:r>
        <w:rPr>
          <w:rFonts w:hint="default" w:ascii="Times New Roman" w:hAnsi="Times New Roman" w:cs="Times New Roman"/>
          <w:color w:val="auto"/>
          <w:vertAlign w:val="superscript"/>
          <w:lang w:val="en-US" w:eastAsia="zh-CN"/>
        </w:rPr>
        <w:t>-5</w:t>
      </w:r>
      <w:r>
        <w:rPr>
          <w:rFonts w:hint="default" w:ascii="Times New Roman" w:hAnsi="Times New Roman" w:cs="Times New Roman"/>
          <w:color w:val="auto"/>
          <w:lang w:val="en-US" w:eastAsia="zh-CN"/>
        </w:rPr>
        <w:t>～7.2×10</w:t>
      </w:r>
      <w:r>
        <w:rPr>
          <w:rFonts w:hint="default" w:ascii="Times New Roman" w:hAnsi="Times New Roman" w:cs="Times New Roman"/>
          <w:color w:val="auto"/>
          <w:vertAlign w:val="superscript"/>
          <w:lang w:val="en-US" w:eastAsia="zh-CN"/>
        </w:rPr>
        <w:t>-5</w:t>
      </w:r>
      <w:r>
        <w:rPr>
          <w:rFonts w:hint="default" w:ascii="Times New Roman" w:hAnsi="Times New Roman" w:cs="Times New Roman"/>
          <w:color w:val="auto"/>
          <w:lang w:val="en-US" w:eastAsia="zh-CN"/>
        </w:rPr>
        <w:t>cm/s，属弱透水岩层。因此，坝基渗漏及绕坝渗流可能性小。</w:t>
      </w:r>
    </w:p>
    <w:p w14:paraId="2489D12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5.排洪隧道工程(水文)地质条件及评价</w:t>
      </w:r>
    </w:p>
    <w:p w14:paraId="702C2694">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排洪隧道包括</w:t>
      </w:r>
      <w:r>
        <w:rPr>
          <w:rFonts w:hint="eastAsia" w:ascii="Times New Roman" w:hAnsi="Times New Roman" w:cs="Times New Roman"/>
          <w:color w:val="auto"/>
          <w:lang w:val="en-US" w:eastAsia="zh-CN"/>
        </w:rPr>
        <w:t>排水</w:t>
      </w:r>
      <w:r>
        <w:rPr>
          <w:rFonts w:hint="default" w:ascii="Times New Roman" w:hAnsi="Times New Roman" w:cs="Times New Roman"/>
          <w:color w:val="auto"/>
          <w:lang w:val="en-US" w:eastAsia="zh-CN"/>
        </w:rPr>
        <w:t>斜槽和连接井，地层岩性为第四系残坡积粉质粘土变质砂岩(Z</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vertAlign w:val="superscript"/>
          <w:lang w:val="en-US" w:eastAsia="zh-CN"/>
        </w:rPr>
        <w:t>zh1</w:t>
      </w:r>
      <w:r>
        <w:rPr>
          <w:rFonts w:hint="default" w:ascii="Times New Roman" w:hAnsi="Times New Roman" w:cs="Times New Roman"/>
          <w:color w:val="auto"/>
          <w:lang w:val="en-US" w:eastAsia="zh-CN"/>
        </w:rPr>
        <w:t>)，上部粉质粘土层已开挖清除，斜槽基础座落在强风化带上，地基产生不均匀沉降的可能性小。强风化变质砂岩，承载力fk=350kPa，分布稳定，渗透系数К=7.2×10</w:t>
      </w:r>
      <w:r>
        <w:rPr>
          <w:rFonts w:hint="default" w:ascii="Times New Roman" w:hAnsi="Times New Roman" w:cs="Times New Roman"/>
          <w:color w:val="auto"/>
          <w:vertAlign w:val="superscript"/>
          <w:lang w:val="en-US" w:eastAsia="zh-CN"/>
        </w:rPr>
        <w:t>-5</w:t>
      </w:r>
      <w:r>
        <w:rPr>
          <w:rFonts w:hint="default" w:ascii="Times New Roman" w:hAnsi="Times New Roman" w:cs="Times New Roman"/>
          <w:color w:val="auto"/>
          <w:lang w:val="en-US" w:eastAsia="zh-CN"/>
        </w:rPr>
        <w:t>cm/s ，属弱透水性，可作为排洪构筑物的基础持力层。</w:t>
      </w:r>
    </w:p>
    <w:p w14:paraId="40B0812B">
      <w:pPr>
        <w:pStyle w:val="4"/>
        <w:bidi w:val="0"/>
        <w:rPr>
          <w:rFonts w:hint="default" w:ascii="Times New Roman" w:hAnsi="Times New Roman" w:cs="Times New Roman"/>
          <w:color w:val="auto"/>
          <w:lang w:val="en-US" w:eastAsia="zh-CN"/>
        </w:rPr>
      </w:pPr>
      <w:bookmarkStart w:id="41" w:name="_Toc27076"/>
      <w:r>
        <w:rPr>
          <w:rFonts w:hint="default" w:ascii="Times New Roman" w:hAnsi="Times New Roman" w:cs="Times New Roman"/>
          <w:color w:val="auto"/>
          <w:lang w:val="en-US" w:eastAsia="zh-CN"/>
        </w:rPr>
        <w:t>2.5尾矿库现状</w:t>
      </w:r>
      <w:bookmarkEnd w:id="41"/>
    </w:p>
    <w:p w14:paraId="6EEDE2DA">
      <w:pPr>
        <w:pStyle w:val="5"/>
        <w:bidi w:val="0"/>
        <w:rPr>
          <w:rFonts w:hint="default" w:ascii="Times New Roman" w:hAnsi="Times New Roman" w:cs="Times New Roman"/>
          <w:color w:val="auto"/>
          <w:lang w:val="en-US" w:eastAsia="zh-CN"/>
        </w:rPr>
      </w:pPr>
      <w:bookmarkStart w:id="42" w:name="_Toc20899"/>
      <w:r>
        <w:rPr>
          <w:rFonts w:hint="default" w:ascii="Times New Roman" w:hAnsi="Times New Roman" w:cs="Times New Roman"/>
          <w:color w:val="auto"/>
          <w:lang w:val="en-US" w:eastAsia="zh-CN"/>
        </w:rPr>
        <w:t>2.5.1库容、等别及防洪标准</w:t>
      </w:r>
      <w:bookmarkEnd w:id="42"/>
    </w:p>
    <w:p w14:paraId="4A8C1AB8">
      <w:pP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该</w:t>
      </w:r>
      <w:r>
        <w:rPr>
          <w:rFonts w:hint="default" w:ascii="Times New Roman" w:hAnsi="Times New Roman" w:cs="Times New Roman"/>
          <w:color w:val="auto"/>
          <w:lang w:val="en-US" w:eastAsia="zh-CN"/>
        </w:rPr>
        <w:t>尾矿库采用一次性筑坝，设计坝顶高程为233.0m</w:t>
      </w:r>
      <w:r>
        <w:rPr>
          <w:rFonts w:hint="eastAsia" w:ascii="Times New Roman" w:hAnsi="Times New Roman" w:cs="Times New Roman"/>
          <w:color w:val="auto"/>
          <w:lang w:val="en-US" w:eastAsia="zh-CN"/>
        </w:rPr>
        <w:t>，总</w:t>
      </w:r>
      <w:r>
        <w:rPr>
          <w:rFonts w:hint="default" w:ascii="Times New Roman" w:hAnsi="Times New Roman" w:cs="Times New Roman"/>
          <w:color w:val="auto"/>
          <w:lang w:val="en-US" w:eastAsia="zh-CN"/>
        </w:rPr>
        <w:t>坝高21.0m，其总库容为12.02×10</w:t>
      </w:r>
      <w:r>
        <w:rPr>
          <w:rFonts w:hint="default" w:ascii="Times New Roman" w:hAnsi="Times New Roman" w:cs="Times New Roman"/>
          <w:color w:val="auto"/>
          <w:vertAlign w:val="superscript"/>
          <w:lang w:val="en-US" w:eastAsia="zh-CN"/>
        </w:rPr>
        <w:t>4</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，有效库容10.81×10</w:t>
      </w:r>
      <w:r>
        <w:rPr>
          <w:rFonts w:hint="default" w:ascii="Times New Roman" w:hAnsi="Times New Roman" w:cs="Times New Roman"/>
          <w:color w:val="auto"/>
          <w:vertAlign w:val="superscript"/>
          <w:lang w:val="en-US" w:eastAsia="zh-CN"/>
        </w:rPr>
        <w:t>4</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，目前坝前尾砂沉积</w:t>
      </w:r>
      <w:r>
        <w:rPr>
          <w:rFonts w:hint="eastAsia" w:ascii="Times New Roman" w:hAnsi="Times New Roman" w:cs="Times New Roman"/>
          <w:color w:val="auto"/>
          <w:lang w:val="en-US" w:eastAsia="zh-CN"/>
        </w:rPr>
        <w:t>面顶部</w:t>
      </w:r>
      <w:r>
        <w:rPr>
          <w:rFonts w:hint="default" w:ascii="Times New Roman" w:hAnsi="Times New Roman" w:cs="Times New Roman"/>
          <w:color w:val="auto"/>
          <w:lang w:val="en-US" w:eastAsia="zh-CN"/>
        </w:rPr>
        <w:t>高程为230.9m，已堆库容约为8.8×10</w:t>
      </w:r>
      <w:r>
        <w:rPr>
          <w:rFonts w:hint="default" w:ascii="Times New Roman" w:hAnsi="Times New Roman" w:cs="Times New Roman"/>
          <w:color w:val="auto"/>
          <w:vertAlign w:val="superscript"/>
          <w:lang w:val="en-US" w:eastAsia="zh-CN"/>
        </w:rPr>
        <w:t>4</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按《尾矿设施设计规范》《尾矿库安全规程》，</w:t>
      </w:r>
      <w:r>
        <w:rPr>
          <w:rFonts w:hint="default" w:ascii="Times New Roman" w:hAnsi="Times New Roman" w:cs="Times New Roman"/>
          <w:color w:val="auto"/>
          <w:lang w:val="en-US" w:eastAsia="zh-CN"/>
        </w:rPr>
        <w:t>该尾矿库为五等库。防洪标准为100年一遇，最小安全超高为0.4m，库内主要构筑物级别为5级，次要构筑物级别为5级，临时构筑物为5等。</w:t>
      </w:r>
    </w:p>
    <w:p w14:paraId="532807E9">
      <w:pPr>
        <w:pStyle w:val="5"/>
        <w:bidi w:val="0"/>
        <w:rPr>
          <w:rFonts w:hint="default" w:ascii="Times New Roman" w:hAnsi="Times New Roman" w:cs="Times New Roman"/>
          <w:color w:val="auto"/>
          <w:lang w:val="en-US" w:eastAsia="zh-CN"/>
        </w:rPr>
      </w:pPr>
      <w:bookmarkStart w:id="43" w:name="_Toc2182"/>
      <w:r>
        <w:rPr>
          <w:rFonts w:hint="default" w:ascii="Times New Roman" w:hAnsi="Times New Roman" w:cs="Times New Roman"/>
          <w:color w:val="auto"/>
          <w:lang w:val="en-US" w:eastAsia="zh-CN"/>
        </w:rPr>
        <w:t>2.5.2</w:t>
      </w:r>
      <w:r>
        <w:rPr>
          <w:rFonts w:hint="eastAsia" w:cs="Times New Roman"/>
          <w:color w:val="auto"/>
          <w:lang w:val="en-US" w:eastAsia="zh-CN"/>
        </w:rPr>
        <w:t>尾矿</w:t>
      </w:r>
      <w:r>
        <w:rPr>
          <w:rFonts w:hint="default" w:ascii="Times New Roman" w:hAnsi="Times New Roman" w:cs="Times New Roman"/>
          <w:color w:val="auto"/>
          <w:lang w:val="en-US" w:eastAsia="zh-CN"/>
        </w:rPr>
        <w:t>坝</w:t>
      </w:r>
      <w:bookmarkEnd w:id="43"/>
    </w:p>
    <w:p w14:paraId="2A374DE4">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1.设计情况</w:t>
      </w:r>
    </w:p>
    <w:p w14:paraId="52AD619E">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整改设计前尾矿坝坝型为采用碾压土料一次性筑坝，坝顶高程232.43m，坝顶宽3.375m，坝长71.0m，上游坝坡比1：1.89。</w:t>
      </w:r>
    </w:p>
    <w:p w14:paraId="5AF2CA53">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2014年整改设计将原有尾矿坝坝顶抬升至233.0m 并将坝顶宽度加宽至5.0m，坝长71m，下游坝面采用碾压堆石加固将下游坡放坡至1:2.0，并在227.0m、218.0m高程设置3.0m宽的马道，尾矿坝下游面设置一检修及维护踏步，踏步从坝脚直通坝顶，踏步采用M7.5水泥砂浆砌块石结构，踏步长0.7m，每级台阶高14cm，坝面上游面采用C15预制混凝土块进行护坡。</w:t>
      </w:r>
    </w:p>
    <w:p w14:paraId="7F2A3800">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2.现场检查情况</w:t>
      </w:r>
    </w:p>
    <w:p w14:paraId="74F2ED9E">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尾矿坝采用一次</w:t>
      </w:r>
      <w:r>
        <w:rPr>
          <w:rFonts w:hint="eastAsia" w:ascii="Times New Roman" w:hAnsi="Times New Roman" w:cs="Times New Roman"/>
          <w:color w:val="auto"/>
          <w:lang w:val="en-US" w:eastAsia="zh-CN"/>
        </w:rPr>
        <w:t>性</w:t>
      </w:r>
      <w:r>
        <w:rPr>
          <w:rFonts w:hint="default" w:ascii="Times New Roman" w:hAnsi="Times New Roman" w:cs="Times New Roman"/>
          <w:color w:val="auto"/>
          <w:lang w:val="en-US" w:eastAsia="zh-CN"/>
        </w:rPr>
        <w:t>筑坝，坝顶高程为+233.0m，坝基标高+213m，坝高为21.0m；坝顶宽5.0m，其中218.0m高程以上下游坡采用碾压堆石进行加固，218.0m高程以下采用碾压堆石进行加固，块石护坡。尾矿坝上游坡比为1:1.89，采用C15素混凝土预制块护坡</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尾矿坝下游坡比为1:2.25，于227.0m</w:t>
      </w:r>
      <w:r>
        <w:rPr>
          <w:rFonts w:hint="eastAsia" w:ascii="Times New Roman" w:hAnsi="Times New Roman" w:cs="Times New Roman"/>
          <w:color w:val="auto"/>
          <w:lang w:val="en-US" w:eastAsia="zh-CN"/>
        </w:rPr>
        <w:t>、218.0m</w:t>
      </w:r>
      <w:r>
        <w:rPr>
          <w:rFonts w:hint="default" w:ascii="Times New Roman" w:hAnsi="Times New Roman" w:cs="Times New Roman"/>
          <w:color w:val="auto"/>
          <w:lang w:val="en-US" w:eastAsia="zh-CN"/>
        </w:rPr>
        <w:t>高程设一马道，马道宽2.0m，采用草皮护坡。并于218.0m高程以下尾矿坝下游坡设置顶宽2.0m碾压堆石排水棱体，棱体下游坡坡比为 1:1.8。</w:t>
      </w:r>
    </w:p>
    <w:p w14:paraId="1B5A2B26">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经现场勘查坝体未见位移、塌陷、</w:t>
      </w:r>
      <w:r>
        <w:rPr>
          <w:rFonts w:hint="eastAsia" w:ascii="Times New Roman" w:hAnsi="Times New Roman" w:cs="Times New Roman"/>
          <w:color w:val="auto"/>
          <w:lang w:val="en-US" w:eastAsia="zh-CN"/>
        </w:rPr>
        <w:t>裂缝、滑坡、</w:t>
      </w:r>
      <w:r>
        <w:rPr>
          <w:rFonts w:hint="default" w:ascii="Times New Roman" w:hAnsi="Times New Roman" w:cs="Times New Roman"/>
          <w:color w:val="auto"/>
          <w:lang w:val="en-US" w:eastAsia="zh-CN"/>
        </w:rPr>
        <w:t>隆起</w:t>
      </w:r>
      <w:r>
        <w:rPr>
          <w:rFonts w:hint="eastAsia" w:ascii="Times New Roman" w:hAnsi="Times New Roman" w:cs="Times New Roman"/>
          <w:color w:val="auto"/>
          <w:lang w:val="en-US" w:eastAsia="zh-CN"/>
        </w:rPr>
        <w:t>、湍流、渗流、管涌</w:t>
      </w:r>
      <w:r>
        <w:rPr>
          <w:rFonts w:hint="default" w:ascii="Times New Roman" w:hAnsi="Times New Roman" w:cs="Times New Roman"/>
          <w:color w:val="auto"/>
          <w:lang w:val="en-US" w:eastAsia="zh-CN"/>
        </w:rPr>
        <w:t>等现象，且未见有尾砂渗漏等现象。</w:t>
      </w:r>
    </w:p>
    <w:p w14:paraId="0DCF8F67">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3.此轮现状评价与上轮现状评价的变化情况</w:t>
      </w:r>
    </w:p>
    <w:p w14:paraId="64EA85B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尾矿坝结构参数、筑坝材料等未改变。坝前尾砂沉积高程由+230.7m上升至+230.9m。</w:t>
      </w:r>
    </w:p>
    <w:p w14:paraId="6337D5CD">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因市场低迷及恢复各种生产手续等事宜，企业一直断断续续在生产。</w:t>
      </w:r>
    </w:p>
    <w:p w14:paraId="1EDCFF4B">
      <w:pPr>
        <w:pStyle w:val="5"/>
        <w:bidi w:val="0"/>
        <w:rPr>
          <w:rFonts w:hint="default" w:ascii="Times New Roman" w:hAnsi="Times New Roman" w:cs="Times New Roman"/>
          <w:color w:val="auto"/>
          <w:lang w:val="en-US" w:eastAsia="zh-CN"/>
        </w:rPr>
      </w:pPr>
      <w:bookmarkStart w:id="44" w:name="_Toc5578"/>
      <w:r>
        <w:rPr>
          <w:rFonts w:hint="default" w:ascii="Times New Roman" w:hAnsi="Times New Roman" w:cs="Times New Roman"/>
          <w:color w:val="auto"/>
          <w:lang w:val="en-US" w:eastAsia="zh-CN"/>
        </w:rPr>
        <w:t>2.5.3尾矿库排洪设施</w:t>
      </w:r>
      <w:bookmarkEnd w:id="44"/>
    </w:p>
    <w:p w14:paraId="695CCC6E">
      <w:pPr>
        <w:bidi w:val="0"/>
        <w:rPr>
          <w:rFonts w:hint="default"/>
          <w:lang w:val="en-US" w:eastAsia="zh-CN"/>
        </w:rPr>
      </w:pPr>
      <w:r>
        <w:rPr>
          <w:rFonts w:hint="default"/>
          <w:lang w:val="en-US" w:eastAsia="zh-CN"/>
        </w:rPr>
        <w:t>1.设计情况</w:t>
      </w:r>
    </w:p>
    <w:p w14:paraId="0FE1B61E">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在右坝肩设置一溢洪道，采用M10浆砌块石结构，溢洪道由引水渠、进口段、</w:t>
      </w:r>
      <w:r>
        <w:rPr>
          <w:rFonts w:hint="eastAsia" w:ascii="Times New Roman" w:hAnsi="Times New Roman" w:cs="Times New Roman"/>
          <w:color w:val="auto"/>
          <w:lang w:val="en-US" w:eastAsia="zh-CN"/>
        </w:rPr>
        <w:t>渐变</w:t>
      </w:r>
      <w:r>
        <w:rPr>
          <w:rFonts w:hint="default" w:ascii="Times New Roman" w:hAnsi="Times New Roman" w:cs="Times New Roman"/>
          <w:color w:val="auto"/>
          <w:lang w:val="en-US" w:eastAsia="zh-CN"/>
        </w:rPr>
        <w:t>段及陡槽组成，进口段采用宽顶堰，长4.0m，净断面尺寸B×H＝6.0m×2.0m，底板厚度为350mm，进水口底板高程为+231.0m，</w:t>
      </w:r>
      <w:r>
        <w:rPr>
          <w:rFonts w:hint="eastAsia" w:ascii="Times New Roman" w:hAnsi="Times New Roman" w:cs="Times New Roman"/>
          <w:color w:val="auto"/>
          <w:lang w:val="en-US" w:eastAsia="zh-CN"/>
        </w:rPr>
        <w:t>渐变</w:t>
      </w:r>
      <w:r>
        <w:rPr>
          <w:rFonts w:hint="default" w:ascii="Times New Roman" w:hAnsi="Times New Roman" w:cs="Times New Roman"/>
          <w:color w:val="auto"/>
          <w:lang w:val="en-US" w:eastAsia="zh-CN"/>
        </w:rPr>
        <w:t>段长6.0 m，水力纵坡0.09，矩形断面，陡槽段水平长 139.3m，净断面尺寸B×H＝3.0m×1.0m。</w:t>
      </w:r>
    </w:p>
    <w:p w14:paraId="2DFCB024">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对老排洪系统进行加固，加固方案如下：新增斜槽盖板，盖板采用C25钢筋混凝土结构，盖板宽200mm，厚150mm；将隧洞进、出口范围50m内及隧洞中间段未按原设计要求衬砌的地段均应进行衬砌，衬砌采用C20钢筋混凝土，衬砌厚度340mm，隧洞中间段若围岩完整且围岩系数f&gt;6，衬砌底板与边墙，隧洞中间段围岩较破碎或围岩系数f≤6 ，隧洞衬砌按隧洞进、出口衬砌要求进行衬砌。</w:t>
      </w:r>
    </w:p>
    <w:p w14:paraId="225629B8">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封堵原尾矿坝右坝肩坝底涵管，为该尾矿坝坝体施工时所采用的导流管涵管，为 C20 钢筋混凝土结构，外径0.6m，内径0.5m，采用在坝前将涵管入口开挖后采用导管（可用普通砼输送软管）逐步往里面灌送C15混凝土，以形成一条长砼塞将其堵死，其C15混凝土封堵长度为50m，其封堵长度用导管控制，先将导管伸入涵管内至50m左右深度，在封堵的过程中逐步将导管抽出。</w:t>
      </w:r>
    </w:p>
    <w:p w14:paraId="1B3AAD17">
      <w:pPr>
        <w:bidi w:val="0"/>
        <w:rPr>
          <w:rFonts w:hint="default"/>
          <w:color w:val="auto"/>
          <w:lang w:val="en-US" w:eastAsia="zh-CN"/>
        </w:rPr>
      </w:pPr>
      <w:r>
        <w:rPr>
          <w:rFonts w:hint="default"/>
          <w:color w:val="auto"/>
          <w:lang w:val="en-US" w:eastAsia="zh-CN"/>
        </w:rPr>
        <w:t>2.现状情况</w:t>
      </w:r>
    </w:p>
    <w:p w14:paraId="6C63189A">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尾矿库正在使用两套排洪（水）系统，一套库内排水斜槽+连接井+排洪隧洞，排水斜槽：斜槽为C20钢筋混凝土结构，净断面1.0</w:t>
      </w:r>
      <w:r>
        <w:rPr>
          <w:rFonts w:hint="eastAsia" w:ascii="Times New Roman" w:hAnsi="Times New Roman" w:cs="Times New Roman"/>
          <w:color w:val="auto"/>
          <w:lang w:val="en-US" w:eastAsia="zh-CN"/>
        </w:rPr>
        <w:t>m</w:t>
      </w:r>
      <w:r>
        <w:rPr>
          <w:rFonts w:hint="default" w:ascii="Times New Roman" w:hAnsi="Times New Roman" w:cs="Times New Roman"/>
          <w:color w:val="auto"/>
          <w:lang w:val="en-US" w:eastAsia="zh-CN"/>
        </w:rPr>
        <w:t>×1.2m，壁厚200mm，现在排水斜槽进水口高程约为229.5m。连接井：连接井采用C20钢筋混凝土结构，连接为圆形，高1.7m，外径3.5m，内径2.7m，壁厚400mm</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隧洞为圆拱直墙式断面，净断面1.38m×1.85m，隧洞进出口50m采用C20钢筋混凝土衬砌，衬砌厚度340mm。另一套</w:t>
      </w:r>
      <w:r>
        <w:rPr>
          <w:rFonts w:hint="eastAsia" w:ascii="Times New Roman" w:hAnsi="Times New Roman" w:cs="Times New Roman"/>
          <w:color w:val="auto"/>
          <w:lang w:val="en-US" w:eastAsia="zh-CN"/>
        </w:rPr>
        <w:t>为</w:t>
      </w:r>
      <w:r>
        <w:rPr>
          <w:rFonts w:hint="default" w:ascii="Times New Roman" w:hAnsi="Times New Roman" w:cs="Times New Roman"/>
          <w:color w:val="auto"/>
          <w:lang w:val="en-US" w:eastAsia="zh-CN"/>
        </w:rPr>
        <w:t>布置在坝体右侧的溢洪道，溢洪道由引水渠、进口段、</w:t>
      </w:r>
      <w:r>
        <w:rPr>
          <w:rFonts w:hint="eastAsia" w:ascii="Times New Roman" w:hAnsi="Times New Roman" w:cs="Times New Roman"/>
          <w:color w:val="auto"/>
          <w:lang w:val="en-US" w:eastAsia="zh-CN"/>
        </w:rPr>
        <w:t>渐变</w:t>
      </w:r>
      <w:r>
        <w:rPr>
          <w:rFonts w:hint="default" w:ascii="Times New Roman" w:hAnsi="Times New Roman" w:cs="Times New Roman"/>
          <w:color w:val="auto"/>
          <w:lang w:val="en-US" w:eastAsia="zh-CN"/>
        </w:rPr>
        <w:t>段及陡槽组成，进口段采用宽顶堰，长4.0m、净断面尺寸B×H＝6.0m×2.0m，进水口底板高程为+231.0m</w:t>
      </w:r>
      <w:r>
        <w:rPr>
          <w:rFonts w:hint="eastAsia" w:ascii="Times New Roman" w:hAnsi="Times New Roman" w:cs="Times New Roman"/>
          <w:color w:val="auto"/>
          <w:lang w:val="en-US" w:eastAsia="zh-CN"/>
        </w:rPr>
        <w:t>，渐变</w:t>
      </w:r>
      <w:r>
        <w:rPr>
          <w:rFonts w:hint="default" w:ascii="Times New Roman" w:hAnsi="Times New Roman" w:cs="Times New Roman"/>
          <w:color w:val="auto"/>
          <w:lang w:val="en-US" w:eastAsia="zh-CN"/>
        </w:rPr>
        <w:t>段长6.0m，水力纵坡0.09，矩形断面，陡槽段水平长139.3m</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净断面尺寸B×H＝3.0m×1.0m。</w:t>
      </w:r>
    </w:p>
    <w:p w14:paraId="43FA69FE">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经现场检查，库内排水斜槽+连接井+排洪隧洞</w:t>
      </w:r>
      <w:r>
        <w:rPr>
          <w:rFonts w:hint="eastAsia" w:ascii="Times New Roman" w:hAnsi="Times New Roman" w:cs="Times New Roman"/>
          <w:color w:val="auto"/>
          <w:lang w:val="en-US" w:eastAsia="zh-CN"/>
        </w:rPr>
        <w:t>、溢洪道</w:t>
      </w:r>
      <w:r>
        <w:rPr>
          <w:rFonts w:hint="default" w:ascii="Times New Roman" w:hAnsi="Times New Roman" w:cs="Times New Roman"/>
          <w:color w:val="auto"/>
          <w:lang w:val="en-US" w:eastAsia="zh-CN"/>
        </w:rPr>
        <w:t>运行良好</w:t>
      </w:r>
      <w:r>
        <w:rPr>
          <w:rFonts w:hint="eastAsia" w:ascii="Times New Roman" w:hAnsi="Times New Roman" w:cs="Times New Roman"/>
          <w:color w:val="auto"/>
          <w:lang w:val="en-US" w:eastAsia="zh-CN"/>
        </w:rPr>
        <w:t>。</w:t>
      </w:r>
    </w:p>
    <w:p w14:paraId="5BA97D62">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3.此轮现状评价与上轮现状评价的变化情况</w:t>
      </w:r>
    </w:p>
    <w:p w14:paraId="337B9FB7">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排洪系统平面布置、结构尺寸等均未发生变化。</w:t>
      </w:r>
    </w:p>
    <w:p w14:paraId="1D2D6833">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溢洪道进水口底板高程为+231.0m，目前坝前尾砂沉积高程为230.9m，两者相差仅0.1m。矿山自2020年以来，选厂尾砂原地制成干矿渣，向尾矿库输送</w:t>
      </w:r>
      <w:r>
        <w:rPr>
          <w:rFonts w:hint="eastAsia" w:ascii="Times New Roman" w:hAnsi="Times New Roman" w:cs="Times New Roman"/>
          <w:color w:val="auto"/>
          <w:lang w:val="en-US" w:eastAsia="zh-CN"/>
        </w:rPr>
        <w:t>溢流水</w:t>
      </w:r>
      <w:r>
        <w:rPr>
          <w:rFonts w:hint="default" w:ascii="Times New Roman" w:hAnsi="Times New Roman" w:cs="Times New Roman"/>
          <w:color w:val="auto"/>
          <w:lang w:val="en-US" w:eastAsia="zh-CN"/>
        </w:rPr>
        <w:t>。</w:t>
      </w:r>
    </w:p>
    <w:p w14:paraId="27A68AEB">
      <w:pPr>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2024年4月，抚州鹏程质量检测有限公司提交了《江西临川鲁金矿业有限公司临川茅排金矿庄前尾矿库排洪构筑物质量检测报告》，结论如下：</w:t>
      </w:r>
    </w:p>
    <w:p w14:paraId="020EBCD9">
      <w:pPr>
        <w:numPr>
          <w:ilvl w:val="0"/>
          <w:numId w:val="2"/>
        </w:numPr>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排水隧洞砼推定强度为21.2MPa、22.3MPa。洞身整体完整性较好，未见明显裂缝和其他明显缺陷，排水隧洞进出口50m混凝土衬砌施工缝有轻微渗漏水，局部有点渗、面渗现象，部分混凝土有析钙现象。根据以上分析，排水隧洞进出口50m混凝土稳定性较好，可满足使用要求。</w:t>
      </w:r>
    </w:p>
    <w:p w14:paraId="5CF6555B">
      <w:pPr>
        <w:numPr>
          <w:ilvl w:val="0"/>
          <w:numId w:val="2"/>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连接井砼推定强度为23.2MPa。连接井混凝土表面未见剥蚀、疏松和析钙现象。根据以上分析连接井稳定性较好，可满足使用要求。</w:t>
      </w:r>
    </w:p>
    <w:p w14:paraId="3345BCD3">
      <w:pPr>
        <w:numPr>
          <w:ilvl w:val="0"/>
          <w:numId w:val="2"/>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双格排水斜槽砼推定强度为28.1MPa。排水斜槽混凝土表面未见明显剥蚀、疏松和析钙现象。根据以上分析，排水斜槽稳定性较好，可满足使用要求</w:t>
      </w:r>
      <w:r>
        <w:rPr>
          <w:rFonts w:hint="eastAsia" w:ascii="Times New Roman" w:hAnsi="Times New Roman" w:cs="Times New Roman"/>
          <w:color w:val="auto"/>
          <w:lang w:val="en-US" w:eastAsia="zh-CN"/>
        </w:rPr>
        <w:t>。</w:t>
      </w:r>
    </w:p>
    <w:p w14:paraId="2DDAF429">
      <w:pPr>
        <w:numPr>
          <w:ilvl w:val="0"/>
          <w:numId w:val="2"/>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预制拱(盖)板砼推定强度为23.3MPa。预制盖板混凝土表面基本无剥蚀、裂缝现象。根据以上分析，盖板稳定性较好，可满足使用要求。</w:t>
      </w:r>
    </w:p>
    <w:p w14:paraId="45E903A2">
      <w:pPr>
        <w:pStyle w:val="5"/>
        <w:bidi w:val="0"/>
        <w:rPr>
          <w:rFonts w:hint="default"/>
          <w:color w:val="FF0000"/>
          <w:lang w:val="en-US" w:eastAsia="zh-CN"/>
        </w:rPr>
      </w:pPr>
      <w:bookmarkStart w:id="45" w:name="_Toc8164"/>
      <w:r>
        <w:rPr>
          <w:rFonts w:hint="eastAsia"/>
          <w:lang w:val="en-US" w:eastAsia="zh-CN"/>
        </w:rPr>
        <w:t>2.5.4</w:t>
      </w:r>
      <w:r>
        <w:rPr>
          <w:rFonts w:hint="default"/>
          <w:lang w:val="en-US" w:eastAsia="zh-CN"/>
        </w:rPr>
        <w:t>尾矿排放工艺</w:t>
      </w:r>
      <w:bookmarkEnd w:id="45"/>
    </w:p>
    <w:p w14:paraId="295A14F3">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1.设计情况</w:t>
      </w:r>
    </w:p>
    <w:p w14:paraId="6ADBC928">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尾矿库采用坝前放矿，放矿时保持离排水斜槽进水口80～100m的澄清距离。汛期放矿时，溢洪道进口周边150m距离内不得放矿。尾矿采用湿式排放工艺。</w:t>
      </w:r>
    </w:p>
    <w:p w14:paraId="132D71EC">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2.现状情况</w:t>
      </w:r>
    </w:p>
    <w:p w14:paraId="20ECE4C4">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为了对尾矿综合利用，江西临川鲁金矿业有限公司2020年引进尾砂干排设备。经选厂出来的尾砂经压滤机、浓密机、脱水机形成含水少、易沉淀固化的矿渣，矿渣被拖至砖厂制砖。废水经过三级沉降后排入尾矿库，再经回水泵泵入选厂进行循环利用。</w:t>
      </w:r>
    </w:p>
    <w:p w14:paraId="207BF08B">
      <w:pPr>
        <w:pStyle w:val="5"/>
        <w:bidi w:val="0"/>
        <w:rPr>
          <w:rFonts w:hint="default" w:ascii="Times New Roman" w:hAnsi="Times New Roman" w:cs="Times New Roman"/>
          <w:color w:val="auto"/>
          <w:lang w:val="en-US" w:eastAsia="zh-CN"/>
        </w:rPr>
      </w:pPr>
      <w:bookmarkStart w:id="46" w:name="_Toc21718"/>
      <w:r>
        <w:rPr>
          <w:rFonts w:hint="default" w:ascii="Times New Roman" w:hAnsi="Times New Roman" w:cs="Times New Roman"/>
          <w:color w:val="auto"/>
          <w:lang w:val="en-US" w:eastAsia="zh-CN"/>
        </w:rPr>
        <w:t>2.5.5监测设施</w:t>
      </w:r>
      <w:bookmarkEnd w:id="46"/>
    </w:p>
    <w:p w14:paraId="62593AD1">
      <w:pPr>
        <w:bidi w:val="0"/>
        <w:rPr>
          <w:rFonts w:hint="default"/>
          <w:lang w:val="en-US" w:eastAsia="zh-CN"/>
        </w:rPr>
      </w:pPr>
      <w:r>
        <w:rPr>
          <w:rFonts w:hint="default"/>
          <w:lang w:val="en-US" w:eastAsia="zh-CN"/>
        </w:rPr>
        <w:t>1.设计情况</w:t>
      </w:r>
    </w:p>
    <w:p w14:paraId="7F30A93C">
      <w:pPr>
        <w:bidi w:val="0"/>
        <w:rPr>
          <w:rFonts w:hint="default" w:ascii="Times New Roman" w:hAnsi="Times New Roman" w:cs="Times New Roman"/>
          <w:lang w:val="en-US" w:eastAsia="zh-CN"/>
        </w:rPr>
      </w:pPr>
      <w:r>
        <w:rPr>
          <w:rFonts w:hint="default" w:ascii="Times New Roman" w:hAnsi="Times New Roman" w:cs="Times New Roman"/>
          <w:lang w:val="en-US" w:eastAsia="zh-CN"/>
        </w:rPr>
        <w:t>该尾矿库等级虽然为5级，在尾矿坝上设置坝体位移观测设施。尾矿库呈不规则山谷型，尾矿坝坝顶轴线不长，在尾矿坝只布置一条观测横断面，共布置3个观测点。水平变形观测采用视准线法，垂直变形观测采用水准仪。</w:t>
      </w:r>
    </w:p>
    <w:p w14:paraId="0BEDFD9D">
      <w:pPr>
        <w:bidi w:val="0"/>
        <w:rPr>
          <w:rFonts w:hint="default" w:ascii="Times New Roman" w:hAnsi="Times New Roman" w:cs="Times New Roman"/>
          <w:lang w:val="en-US" w:eastAsia="zh-CN"/>
        </w:rPr>
      </w:pPr>
      <w:r>
        <w:rPr>
          <w:rFonts w:hint="default" w:ascii="Times New Roman" w:hAnsi="Times New Roman" w:cs="Times New Roman"/>
          <w:lang w:val="en-US" w:eastAsia="zh-CN"/>
        </w:rPr>
        <w:t>2021年企业委托江西普瑞智工程技术</w:t>
      </w:r>
      <w:r>
        <w:rPr>
          <w:rFonts w:hint="eastAsia" w:ascii="Times New Roman" w:hAnsi="Times New Roman" w:cs="Times New Roman"/>
          <w:lang w:val="en-US" w:eastAsia="zh-CN"/>
        </w:rPr>
        <w:t>有</w:t>
      </w:r>
      <w:r>
        <w:rPr>
          <w:rFonts w:hint="default" w:ascii="Times New Roman" w:hAnsi="Times New Roman" w:cs="Times New Roman"/>
          <w:lang w:val="en-US" w:eastAsia="zh-CN"/>
        </w:rPr>
        <w:t>限公司设计建设了江西临川鲁金矿业有限公司茅排金矿庄前尾矿库在线监测，建设安装GPS表面位移监测测点1个，GPS表面位移基站1个，浸润线检测点2个，库水位监测点1个，监控系统1个，每个测点配电源系统、防雷系统一套。</w:t>
      </w:r>
    </w:p>
    <w:p w14:paraId="64D3008B">
      <w:pPr>
        <w:bidi w:val="0"/>
        <w:rPr>
          <w:rFonts w:hint="default" w:ascii="Times New Roman" w:hAnsi="Times New Roman" w:cs="Times New Roman"/>
          <w:lang w:val="en-US" w:eastAsia="zh-CN"/>
        </w:rPr>
      </w:pPr>
      <w:r>
        <w:rPr>
          <w:rFonts w:hint="default" w:ascii="Times New Roman" w:hAnsi="Times New Roman" w:cs="Times New Roman"/>
          <w:lang w:val="en-US" w:eastAsia="zh-CN"/>
        </w:rPr>
        <w:t>2.现状情况</w:t>
      </w:r>
    </w:p>
    <w:p w14:paraId="634D5197">
      <w:pPr>
        <w:bidi w:val="0"/>
        <w:rPr>
          <w:rFonts w:hint="default" w:ascii="Times New Roman" w:hAnsi="Times New Roman" w:cs="Times New Roman"/>
          <w:lang w:val="en-US" w:eastAsia="zh-CN"/>
        </w:rPr>
      </w:pPr>
      <w:r>
        <w:rPr>
          <w:rFonts w:hint="default" w:ascii="Times New Roman" w:hAnsi="Times New Roman" w:cs="Times New Roman"/>
          <w:lang w:val="en-US" w:eastAsia="zh-CN"/>
        </w:rPr>
        <w:t>企业在尾矿坝只布置一条观测横断面，共布置3个观测点。水平变形观测采用视准线法，垂直变形观测采用水准仪，定期监测，并记录在册。</w:t>
      </w:r>
    </w:p>
    <w:p w14:paraId="1407CCA1">
      <w:pPr>
        <w:bidi w:val="0"/>
        <w:rPr>
          <w:rFonts w:hint="default" w:ascii="Times New Roman" w:hAnsi="Times New Roman" w:cs="Times New Roman"/>
          <w:lang w:val="en-US" w:eastAsia="zh-CN"/>
        </w:rPr>
      </w:pPr>
      <w:r>
        <w:rPr>
          <w:rFonts w:hint="default" w:ascii="Times New Roman" w:hAnsi="Times New Roman" w:cs="Times New Roman"/>
          <w:lang w:val="en-US" w:eastAsia="zh-CN"/>
        </w:rPr>
        <w:t>企业在连接井附近布置了1个库水位标尺监测点，采用人工监测方式，每天监测1次，并记录在册。</w:t>
      </w:r>
    </w:p>
    <w:p w14:paraId="79E4C959">
      <w:pPr>
        <w:bidi w:val="0"/>
        <w:rPr>
          <w:rFonts w:hint="default" w:ascii="Times New Roman" w:hAnsi="Times New Roman" w:cs="Times New Roman"/>
          <w:lang w:val="en-US" w:eastAsia="zh-CN"/>
        </w:rPr>
      </w:pPr>
      <w:r>
        <w:rPr>
          <w:rFonts w:hint="default" w:ascii="Times New Roman" w:hAnsi="Times New Roman" w:cs="Times New Roman"/>
          <w:lang w:val="en-US" w:eastAsia="zh-CN"/>
        </w:rPr>
        <w:t>2021年企业在尾矿库区域安装了在线监测系统，其中GPS表面位移监测测点1个，GPS表面位移基站1个，浸润线定期检测点2个，雨量监测点1个，库水位监测点1个（布置在排洪斜槽附近），每个测点配电源系统、防雷系统1套，并与江西省非煤矿矿山安全生产风险监测预警系统对接。</w:t>
      </w:r>
      <w:r>
        <w:rPr>
          <w:rFonts w:hint="eastAsia" w:ascii="Times New Roman" w:hAnsi="Times New Roman" w:cs="Times New Roman"/>
          <w:lang w:val="en-US" w:eastAsia="zh-CN"/>
        </w:rPr>
        <w:t>监测系统运行正常。</w:t>
      </w:r>
    </w:p>
    <w:p w14:paraId="0D7CD041">
      <w:pPr>
        <w:pStyle w:val="5"/>
        <w:bidi w:val="0"/>
        <w:rPr>
          <w:rFonts w:hint="default" w:ascii="Times New Roman" w:hAnsi="Times New Roman" w:cs="Times New Roman"/>
          <w:color w:val="auto"/>
          <w:lang w:val="en-US" w:eastAsia="zh-CN"/>
        </w:rPr>
      </w:pPr>
      <w:bookmarkStart w:id="47" w:name="_Toc16753"/>
      <w:r>
        <w:rPr>
          <w:rFonts w:hint="default" w:ascii="Times New Roman" w:hAnsi="Times New Roman" w:cs="Times New Roman"/>
          <w:color w:val="auto"/>
          <w:lang w:val="en-US" w:eastAsia="zh-CN"/>
        </w:rPr>
        <w:t>2.5.6辅助设施</w:t>
      </w:r>
      <w:bookmarkEnd w:id="47"/>
    </w:p>
    <w:p w14:paraId="048CB10E">
      <w:pPr>
        <w:rPr>
          <w:rFonts w:hint="default"/>
          <w:lang w:val="en-US" w:eastAsia="zh-CN"/>
        </w:rPr>
      </w:pPr>
      <w:r>
        <w:rPr>
          <w:rFonts w:hint="default"/>
          <w:lang w:val="en-US" w:eastAsia="zh-CN"/>
        </w:rPr>
        <w:t>1.设计情况</w:t>
      </w:r>
    </w:p>
    <w:p w14:paraId="2C66041B">
      <w:pPr>
        <w:rPr>
          <w:rFonts w:hint="default"/>
          <w:lang w:val="en-US" w:eastAsia="zh-CN"/>
        </w:rPr>
      </w:pPr>
      <w:r>
        <w:rPr>
          <w:rFonts w:hint="default"/>
          <w:lang w:val="en-US" w:eastAsia="zh-CN"/>
        </w:rPr>
        <w:t>由于尾矿库距离选厂办公室很近，因此将值班室设在选厂办公室内，派专人值守尾矿库，同时值守室设专线电话及手机一部。尾矿库配备一组应急照明设备。应急照明设备采用移动式，以应对工作和事故地点的不确定性。</w:t>
      </w:r>
    </w:p>
    <w:p w14:paraId="042EEFE1">
      <w:pPr>
        <w:rPr>
          <w:rFonts w:hint="default"/>
          <w:lang w:val="en-US" w:eastAsia="zh-CN"/>
        </w:rPr>
      </w:pPr>
      <w:r>
        <w:rPr>
          <w:rFonts w:hint="default"/>
          <w:lang w:val="en-US" w:eastAsia="zh-CN"/>
        </w:rPr>
        <w:t>2.现状情况</w:t>
      </w:r>
    </w:p>
    <w:p w14:paraId="092E951C">
      <w:pPr>
        <w:rPr>
          <w:rFonts w:hint="default"/>
          <w:lang w:val="en-US" w:eastAsia="zh-CN"/>
        </w:rPr>
      </w:pPr>
      <w:r>
        <w:rPr>
          <w:rFonts w:hint="default"/>
          <w:lang w:val="en-US" w:eastAsia="zh-CN"/>
        </w:rPr>
        <w:t>现尾矿库有一条上坝公路，坝面上、排水斜槽设置了照明设施。在尾矿坝上坝公路左侧设有值班房，并有一条便道通往排水斜槽。采用手机通讯。</w:t>
      </w:r>
    </w:p>
    <w:p w14:paraId="7DD03A09">
      <w:pPr>
        <w:pStyle w:val="4"/>
        <w:bidi w:val="0"/>
        <w:rPr>
          <w:rFonts w:hint="default" w:ascii="Times New Roman" w:hAnsi="Times New Roman" w:cs="Times New Roman"/>
          <w:color w:val="auto"/>
          <w:lang w:val="en-US" w:eastAsia="zh-CN"/>
        </w:rPr>
      </w:pPr>
      <w:bookmarkStart w:id="48" w:name="_Toc2492"/>
      <w:r>
        <w:rPr>
          <w:rFonts w:hint="default" w:ascii="Times New Roman" w:hAnsi="Times New Roman" w:cs="Times New Roman"/>
          <w:color w:val="auto"/>
          <w:lang w:val="en-US" w:eastAsia="zh-CN"/>
        </w:rPr>
        <w:t>2.6尾矿库安全管理</w:t>
      </w:r>
      <w:bookmarkEnd w:id="48"/>
    </w:p>
    <w:p w14:paraId="7BEDE080">
      <w:pPr>
        <w:pStyle w:val="5"/>
        <w:bidi w:val="0"/>
        <w:rPr>
          <w:rFonts w:hint="default"/>
          <w:lang w:val="en-US" w:eastAsia="zh-CN"/>
        </w:rPr>
      </w:pPr>
      <w:bookmarkStart w:id="49" w:name="_Toc13624"/>
      <w:r>
        <w:rPr>
          <w:rFonts w:hint="eastAsia"/>
          <w:lang w:val="en-US" w:eastAsia="zh-CN"/>
        </w:rPr>
        <w:t>2.6.1安全生产机构</w:t>
      </w:r>
      <w:bookmarkEnd w:id="49"/>
    </w:p>
    <w:p w14:paraId="7B3430F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江西临川鲁金矿业有限公司建立了安全管理组织机构（安</w:t>
      </w:r>
      <w:r>
        <w:rPr>
          <w:rFonts w:hint="eastAsia" w:ascii="Times New Roman" w:hAnsi="Times New Roman" w:cs="Times New Roman"/>
          <w:color w:val="auto"/>
          <w:lang w:val="en-US" w:eastAsia="zh-CN"/>
        </w:rPr>
        <w:t>全</w:t>
      </w:r>
      <w:r>
        <w:rPr>
          <w:rFonts w:hint="default" w:ascii="Times New Roman" w:hAnsi="Times New Roman" w:cs="Times New Roman"/>
          <w:color w:val="auto"/>
          <w:lang w:val="en-US" w:eastAsia="zh-CN"/>
        </w:rPr>
        <w:t>科），矿山主要负责人王德雀对公司的安全、环保、消防、职业卫生等工作全面负责，配有一名注册安全工程师、2名专职安全管理员进行分管。</w:t>
      </w:r>
      <w:r>
        <w:rPr>
          <w:rFonts w:hint="eastAsia" w:ascii="Times New Roman" w:hAnsi="Times New Roman" w:cs="Times New Roman"/>
          <w:color w:val="auto"/>
          <w:lang w:val="en-US" w:eastAsia="zh-CN"/>
        </w:rPr>
        <w:t>详细见</w:t>
      </w:r>
      <w:r>
        <w:rPr>
          <w:rFonts w:hint="default" w:ascii="Times New Roman" w:hAnsi="Times New Roman" w:cs="Times New Roman"/>
          <w:color w:val="auto"/>
          <w:lang w:val="en-US" w:eastAsia="zh-CN"/>
        </w:rPr>
        <w:t>表2</w:t>
      </w:r>
      <w:r>
        <w:rPr>
          <w:rFonts w:hint="eastAsia" w:ascii="Times New Roman" w:hAnsi="Times New Roman" w:cs="Times New Roman"/>
          <w:color w:val="auto"/>
          <w:lang w:val="en-US" w:eastAsia="zh-CN"/>
        </w:rPr>
        <w:t>.6.1</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1</w:t>
      </w:r>
      <w:r>
        <w:rPr>
          <w:rFonts w:hint="default" w:ascii="Times New Roman" w:hAnsi="Times New Roman" w:cs="Times New Roman"/>
          <w:color w:val="auto"/>
          <w:lang w:val="en-US" w:eastAsia="zh-CN"/>
        </w:rPr>
        <w:t>。</w:t>
      </w:r>
    </w:p>
    <w:p w14:paraId="41D57DD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表2</w:t>
      </w:r>
      <w:r>
        <w:rPr>
          <w:rFonts w:hint="eastAsia" w:ascii="Times New Roman" w:hAnsi="Times New Roman" w:cs="Times New Roman"/>
          <w:color w:val="auto"/>
          <w:lang w:val="en-US" w:eastAsia="zh-CN"/>
        </w:rPr>
        <w:t>.6</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1</w:t>
      </w:r>
      <w:r>
        <w:rPr>
          <w:rFonts w:hint="default" w:ascii="Times New Roman" w:hAnsi="Times New Roman" w:cs="Times New Roman"/>
          <w:color w:val="auto"/>
          <w:lang w:val="en-US" w:eastAsia="zh-CN"/>
        </w:rPr>
        <w:t>安全管理人员持证情况</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604"/>
        <w:gridCol w:w="1020"/>
        <w:gridCol w:w="2160"/>
        <w:gridCol w:w="1740"/>
        <w:gridCol w:w="2236"/>
      </w:tblGrid>
      <w:tr w14:paraId="449E5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6B346131">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eastAsia"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序</w:t>
            </w:r>
          </w:p>
          <w:p w14:paraId="5437F352">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号</w:t>
            </w:r>
          </w:p>
        </w:tc>
        <w:tc>
          <w:tcPr>
            <w:tcW w:w="1604" w:type="dxa"/>
            <w:vAlign w:val="center"/>
          </w:tcPr>
          <w:p w14:paraId="0FF053E7">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职   位</w:t>
            </w:r>
          </w:p>
        </w:tc>
        <w:tc>
          <w:tcPr>
            <w:tcW w:w="1020" w:type="dxa"/>
            <w:vAlign w:val="center"/>
          </w:tcPr>
          <w:p w14:paraId="2313FF40">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姓  名</w:t>
            </w:r>
          </w:p>
        </w:tc>
        <w:tc>
          <w:tcPr>
            <w:tcW w:w="2160" w:type="dxa"/>
            <w:vAlign w:val="center"/>
          </w:tcPr>
          <w:p w14:paraId="5F678F96">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证书编号</w:t>
            </w:r>
          </w:p>
        </w:tc>
        <w:tc>
          <w:tcPr>
            <w:tcW w:w="1740" w:type="dxa"/>
            <w:vAlign w:val="center"/>
          </w:tcPr>
          <w:p w14:paraId="429F6A85">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有效期限</w:t>
            </w:r>
          </w:p>
        </w:tc>
        <w:tc>
          <w:tcPr>
            <w:tcW w:w="2236" w:type="dxa"/>
            <w:vAlign w:val="center"/>
          </w:tcPr>
          <w:p w14:paraId="09D65F1B">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发证机构</w:t>
            </w:r>
          </w:p>
        </w:tc>
      </w:tr>
      <w:tr w14:paraId="1048A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51453EB4">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1</w:t>
            </w:r>
          </w:p>
        </w:tc>
        <w:tc>
          <w:tcPr>
            <w:tcW w:w="1604" w:type="dxa"/>
            <w:vAlign w:val="center"/>
          </w:tcPr>
          <w:p w14:paraId="5E63E378">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主要负责人</w:t>
            </w:r>
          </w:p>
        </w:tc>
        <w:tc>
          <w:tcPr>
            <w:tcW w:w="1020" w:type="dxa"/>
            <w:vAlign w:val="center"/>
          </w:tcPr>
          <w:p w14:paraId="39E9942F">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eastAsia"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王德雀</w:t>
            </w:r>
          </w:p>
        </w:tc>
        <w:tc>
          <w:tcPr>
            <w:tcW w:w="2160" w:type="dxa"/>
            <w:vAlign w:val="center"/>
          </w:tcPr>
          <w:p w14:paraId="2F7A5868">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eastAsia"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33032719701028599X</w:t>
            </w:r>
          </w:p>
        </w:tc>
        <w:tc>
          <w:tcPr>
            <w:tcW w:w="1740" w:type="dxa"/>
            <w:vAlign w:val="center"/>
          </w:tcPr>
          <w:p w14:paraId="661D9DE0">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eastAsia"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2024-1-18至2027-1-17</w:t>
            </w:r>
          </w:p>
        </w:tc>
        <w:tc>
          <w:tcPr>
            <w:tcW w:w="2236" w:type="dxa"/>
            <w:vAlign w:val="center"/>
          </w:tcPr>
          <w:p w14:paraId="1489E95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赣州市行政审批局</w:t>
            </w:r>
          </w:p>
        </w:tc>
      </w:tr>
      <w:tr w14:paraId="08576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235D509C">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2</w:t>
            </w:r>
          </w:p>
        </w:tc>
        <w:tc>
          <w:tcPr>
            <w:tcW w:w="1604" w:type="dxa"/>
            <w:vAlign w:val="center"/>
          </w:tcPr>
          <w:p w14:paraId="17FB5C0B">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注安工程师</w:t>
            </w:r>
          </w:p>
        </w:tc>
        <w:tc>
          <w:tcPr>
            <w:tcW w:w="1020" w:type="dxa"/>
            <w:vAlign w:val="center"/>
          </w:tcPr>
          <w:p w14:paraId="167CE82B">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沈廉永</w:t>
            </w:r>
          </w:p>
        </w:tc>
        <w:tc>
          <w:tcPr>
            <w:tcW w:w="2160" w:type="dxa"/>
            <w:vAlign w:val="center"/>
          </w:tcPr>
          <w:p w14:paraId="379162B1">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43010419604083539</w:t>
            </w:r>
          </w:p>
        </w:tc>
        <w:tc>
          <w:tcPr>
            <w:tcW w:w="1740" w:type="dxa"/>
            <w:vAlign w:val="center"/>
          </w:tcPr>
          <w:p w14:paraId="2ED01229">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both"/>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发证日期：2018年10月28日</w:t>
            </w:r>
          </w:p>
        </w:tc>
        <w:tc>
          <w:tcPr>
            <w:tcW w:w="2236" w:type="dxa"/>
            <w:vAlign w:val="center"/>
          </w:tcPr>
          <w:p w14:paraId="0497830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应急管理部</w:t>
            </w:r>
          </w:p>
          <w:p w14:paraId="3BACD14F">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人力资源和社会保障部</w:t>
            </w:r>
          </w:p>
        </w:tc>
      </w:tr>
      <w:tr w14:paraId="634F1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072849EB">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3</w:t>
            </w:r>
          </w:p>
        </w:tc>
        <w:tc>
          <w:tcPr>
            <w:tcW w:w="1604" w:type="dxa"/>
            <w:vAlign w:val="center"/>
          </w:tcPr>
          <w:p w14:paraId="0706FCA6">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安全生产管理员</w:t>
            </w:r>
          </w:p>
        </w:tc>
        <w:tc>
          <w:tcPr>
            <w:tcW w:w="1020" w:type="dxa"/>
            <w:vAlign w:val="center"/>
          </w:tcPr>
          <w:p w14:paraId="393D90CD">
            <w:pPr>
              <w:keepNext w:val="0"/>
              <w:keepLines w:val="0"/>
              <w:pageBreakBefore w:val="0"/>
              <w:widowControl w:val="0"/>
              <w:kinsoku/>
              <w:wordWrap/>
              <w:overflowPunct/>
              <w:topLinePunct w:val="0"/>
              <w:autoSpaceDE/>
              <w:autoSpaceDN/>
              <w:bidi w:val="0"/>
              <w:adjustRightInd w:val="0"/>
              <w:snapToGrid w:val="0"/>
              <w:spacing w:before="35" w:line="185" w:lineRule="auto"/>
              <w:ind w:right="135" w:rightChars="0" w:firstLine="0" w:firstLineChars="0"/>
              <w:jc w:val="center"/>
              <w:textAlignment w:val="auto"/>
              <w:rPr>
                <w:rFonts w:hint="default" w:ascii="宋体" w:hAnsi="宋体" w:eastAsia="宋体" w:cs="宋体"/>
                <w:snapToGrid w:val="0"/>
                <w:color w:val="auto"/>
                <w:spacing w:val="3"/>
                <w:kern w:val="0"/>
                <w:sz w:val="18"/>
                <w:szCs w:val="18"/>
                <w:lang w:val="en-US" w:eastAsia="zh-CN"/>
              </w:rPr>
            </w:pPr>
            <w:r>
              <w:rPr>
                <w:rFonts w:hint="eastAsia" w:ascii="宋体" w:hAnsi="宋体" w:cs="宋体"/>
                <w:color w:val="auto"/>
                <w:spacing w:val="3"/>
                <w:sz w:val="18"/>
                <w:szCs w:val="18"/>
                <w:lang w:val="en-US" w:eastAsia="zh-CN"/>
              </w:rPr>
              <w:t>黄仕涛</w:t>
            </w:r>
          </w:p>
        </w:tc>
        <w:tc>
          <w:tcPr>
            <w:tcW w:w="2160" w:type="dxa"/>
            <w:vAlign w:val="center"/>
          </w:tcPr>
          <w:p w14:paraId="11043990">
            <w:pPr>
              <w:keepNext w:val="0"/>
              <w:keepLines w:val="0"/>
              <w:pageBreakBefore w:val="0"/>
              <w:widowControl w:val="0"/>
              <w:kinsoku/>
              <w:wordWrap/>
              <w:overflowPunct/>
              <w:topLinePunct w:val="0"/>
              <w:autoSpaceDE/>
              <w:autoSpaceDN/>
              <w:bidi w:val="0"/>
              <w:adjustRightInd w:val="0"/>
              <w:snapToGrid w:val="0"/>
              <w:spacing w:before="35" w:line="185" w:lineRule="auto"/>
              <w:ind w:right="135" w:rightChars="0" w:firstLine="0" w:firstLineChars="0"/>
              <w:jc w:val="center"/>
              <w:textAlignment w:val="auto"/>
              <w:rPr>
                <w:rFonts w:hint="default" w:ascii="宋体" w:hAnsi="宋体" w:eastAsia="宋体" w:cs="宋体"/>
                <w:snapToGrid w:val="0"/>
                <w:color w:val="auto"/>
                <w:spacing w:val="3"/>
                <w:kern w:val="0"/>
                <w:sz w:val="18"/>
                <w:szCs w:val="18"/>
                <w:lang w:val="en-US" w:eastAsia="zh-CN"/>
              </w:rPr>
            </w:pPr>
            <w:r>
              <w:rPr>
                <w:rFonts w:hint="eastAsia" w:ascii="宋体" w:hAnsi="宋体" w:cs="宋体"/>
                <w:color w:val="auto"/>
                <w:spacing w:val="3"/>
                <w:sz w:val="18"/>
                <w:szCs w:val="18"/>
                <w:lang w:val="en-US" w:eastAsia="zh-CN"/>
              </w:rPr>
              <w:t>612328198902281433</w:t>
            </w:r>
          </w:p>
        </w:tc>
        <w:tc>
          <w:tcPr>
            <w:tcW w:w="1740" w:type="dxa"/>
            <w:vAlign w:val="center"/>
          </w:tcPr>
          <w:p w14:paraId="44D2E31B">
            <w:pPr>
              <w:keepNext w:val="0"/>
              <w:keepLines w:val="0"/>
              <w:pageBreakBefore w:val="0"/>
              <w:widowControl w:val="0"/>
              <w:kinsoku/>
              <w:wordWrap/>
              <w:overflowPunct/>
              <w:topLinePunct w:val="0"/>
              <w:autoSpaceDE/>
              <w:autoSpaceDN/>
              <w:bidi w:val="0"/>
              <w:adjustRightInd w:val="0"/>
              <w:snapToGrid w:val="0"/>
              <w:spacing w:before="35" w:line="185" w:lineRule="auto"/>
              <w:ind w:right="135" w:rightChars="0" w:firstLine="0" w:firstLineChars="0"/>
              <w:jc w:val="center"/>
              <w:textAlignment w:val="auto"/>
              <w:rPr>
                <w:rFonts w:hint="default" w:ascii="宋体" w:hAnsi="宋体" w:eastAsia="宋体" w:cs="宋体"/>
                <w:snapToGrid w:val="0"/>
                <w:color w:val="auto"/>
                <w:spacing w:val="3"/>
                <w:kern w:val="0"/>
                <w:sz w:val="18"/>
                <w:szCs w:val="18"/>
                <w:lang w:val="en-US" w:eastAsia="zh-CN"/>
              </w:rPr>
            </w:pPr>
            <w:r>
              <w:rPr>
                <w:rFonts w:hint="eastAsia" w:ascii="宋体" w:hAnsi="宋体" w:cs="宋体"/>
                <w:color w:val="auto"/>
                <w:spacing w:val="3"/>
                <w:sz w:val="18"/>
                <w:szCs w:val="18"/>
                <w:lang w:val="en-US" w:eastAsia="zh-CN"/>
              </w:rPr>
              <w:t>2023-05-05至2026-05-04</w:t>
            </w:r>
          </w:p>
        </w:tc>
        <w:tc>
          <w:tcPr>
            <w:tcW w:w="2236" w:type="dxa"/>
            <w:vAlign w:val="center"/>
          </w:tcPr>
          <w:p w14:paraId="33E5696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贺州市应急管理局</w:t>
            </w:r>
          </w:p>
        </w:tc>
      </w:tr>
      <w:tr w14:paraId="15E18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tcPr>
          <w:p w14:paraId="6AF0D362">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4</w:t>
            </w:r>
          </w:p>
        </w:tc>
        <w:tc>
          <w:tcPr>
            <w:tcW w:w="1604" w:type="dxa"/>
            <w:vAlign w:val="center"/>
          </w:tcPr>
          <w:p w14:paraId="7F79201E">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安全生产管理员</w:t>
            </w:r>
          </w:p>
        </w:tc>
        <w:tc>
          <w:tcPr>
            <w:tcW w:w="1020" w:type="dxa"/>
            <w:vAlign w:val="center"/>
          </w:tcPr>
          <w:p w14:paraId="5DC7A3DE">
            <w:pPr>
              <w:keepNext w:val="0"/>
              <w:keepLines w:val="0"/>
              <w:pageBreakBefore w:val="0"/>
              <w:widowControl w:val="0"/>
              <w:kinsoku/>
              <w:wordWrap/>
              <w:overflowPunct/>
              <w:topLinePunct w:val="0"/>
              <w:autoSpaceDE/>
              <w:autoSpaceDN/>
              <w:bidi w:val="0"/>
              <w:adjustRightInd w:val="0"/>
              <w:snapToGrid w:val="0"/>
              <w:spacing w:before="35" w:line="185" w:lineRule="auto"/>
              <w:ind w:right="135" w:rightChars="0" w:firstLine="0" w:firstLineChars="0"/>
              <w:jc w:val="center"/>
              <w:textAlignment w:val="auto"/>
              <w:rPr>
                <w:rFonts w:hint="default" w:ascii="宋体" w:hAnsi="宋体" w:eastAsia="宋体" w:cs="宋体"/>
                <w:snapToGrid w:val="0"/>
                <w:color w:val="auto"/>
                <w:spacing w:val="3"/>
                <w:kern w:val="0"/>
                <w:sz w:val="18"/>
                <w:szCs w:val="18"/>
                <w:lang w:val="en-US" w:eastAsia="zh-CN"/>
              </w:rPr>
            </w:pPr>
            <w:r>
              <w:rPr>
                <w:rFonts w:hint="eastAsia" w:ascii="宋体" w:hAnsi="宋体" w:cs="宋体"/>
                <w:color w:val="auto"/>
                <w:spacing w:val="3"/>
                <w:sz w:val="18"/>
                <w:szCs w:val="18"/>
                <w:lang w:val="en-US" w:eastAsia="zh-CN"/>
              </w:rPr>
              <w:t>叶初荣</w:t>
            </w:r>
          </w:p>
        </w:tc>
        <w:tc>
          <w:tcPr>
            <w:tcW w:w="2160" w:type="dxa"/>
            <w:vAlign w:val="center"/>
          </w:tcPr>
          <w:p w14:paraId="6F7C22C5">
            <w:pPr>
              <w:keepNext w:val="0"/>
              <w:keepLines w:val="0"/>
              <w:pageBreakBefore w:val="0"/>
              <w:widowControl w:val="0"/>
              <w:kinsoku/>
              <w:wordWrap/>
              <w:overflowPunct/>
              <w:topLinePunct w:val="0"/>
              <w:autoSpaceDE/>
              <w:autoSpaceDN/>
              <w:bidi w:val="0"/>
              <w:adjustRightInd w:val="0"/>
              <w:snapToGrid w:val="0"/>
              <w:spacing w:before="35" w:line="185" w:lineRule="auto"/>
              <w:ind w:right="135" w:rightChars="0" w:firstLine="0" w:firstLineChars="0"/>
              <w:jc w:val="center"/>
              <w:textAlignment w:val="auto"/>
              <w:rPr>
                <w:rFonts w:hint="default" w:ascii="宋体" w:hAnsi="宋体" w:eastAsia="宋体" w:cs="宋体"/>
                <w:snapToGrid w:val="0"/>
                <w:color w:val="auto"/>
                <w:spacing w:val="3"/>
                <w:kern w:val="0"/>
                <w:sz w:val="18"/>
                <w:szCs w:val="18"/>
                <w:lang w:val="en-US" w:eastAsia="zh-CN"/>
              </w:rPr>
            </w:pPr>
            <w:r>
              <w:rPr>
                <w:rFonts w:hint="eastAsia" w:ascii="宋体" w:hAnsi="宋体" w:cs="宋体"/>
                <w:color w:val="auto"/>
                <w:spacing w:val="3"/>
                <w:sz w:val="18"/>
                <w:szCs w:val="18"/>
                <w:lang w:val="en-US" w:eastAsia="zh-CN"/>
              </w:rPr>
              <w:t>362531196602140012</w:t>
            </w:r>
          </w:p>
        </w:tc>
        <w:tc>
          <w:tcPr>
            <w:tcW w:w="1740" w:type="dxa"/>
            <w:vAlign w:val="center"/>
          </w:tcPr>
          <w:p w14:paraId="79D42AF6">
            <w:pPr>
              <w:keepNext w:val="0"/>
              <w:keepLines w:val="0"/>
              <w:pageBreakBefore w:val="0"/>
              <w:widowControl w:val="0"/>
              <w:kinsoku/>
              <w:wordWrap/>
              <w:overflowPunct/>
              <w:topLinePunct w:val="0"/>
              <w:autoSpaceDE/>
              <w:autoSpaceDN/>
              <w:bidi w:val="0"/>
              <w:adjustRightInd w:val="0"/>
              <w:snapToGrid w:val="0"/>
              <w:spacing w:before="35" w:line="185" w:lineRule="auto"/>
              <w:ind w:right="135" w:rightChars="0" w:firstLine="0" w:firstLineChars="0"/>
              <w:jc w:val="center"/>
              <w:textAlignment w:val="auto"/>
              <w:rPr>
                <w:rFonts w:hint="default" w:ascii="宋体" w:hAnsi="宋体" w:eastAsia="宋体" w:cs="宋体"/>
                <w:snapToGrid w:val="0"/>
                <w:color w:val="auto"/>
                <w:spacing w:val="3"/>
                <w:kern w:val="0"/>
                <w:sz w:val="18"/>
                <w:szCs w:val="18"/>
                <w:lang w:val="en-US" w:eastAsia="zh-CN"/>
              </w:rPr>
            </w:pPr>
            <w:r>
              <w:rPr>
                <w:rFonts w:hint="eastAsia" w:ascii="宋体" w:hAnsi="宋体" w:eastAsia="宋体" w:cs="宋体"/>
                <w:color w:val="auto"/>
                <w:spacing w:val="3"/>
                <w:sz w:val="18"/>
                <w:szCs w:val="18"/>
                <w:lang w:val="en-US" w:eastAsia="zh-CN"/>
              </w:rPr>
              <w:t>202</w:t>
            </w:r>
            <w:r>
              <w:rPr>
                <w:rFonts w:hint="eastAsia" w:ascii="宋体" w:hAnsi="宋体" w:cs="宋体"/>
                <w:color w:val="auto"/>
                <w:spacing w:val="3"/>
                <w:sz w:val="18"/>
                <w:szCs w:val="18"/>
                <w:lang w:val="en-US" w:eastAsia="zh-CN"/>
              </w:rPr>
              <w:t>4</w:t>
            </w:r>
            <w:r>
              <w:rPr>
                <w:rFonts w:hint="eastAsia" w:ascii="宋体" w:hAnsi="宋体" w:eastAsia="宋体" w:cs="宋体"/>
                <w:color w:val="auto"/>
                <w:spacing w:val="3"/>
                <w:sz w:val="18"/>
                <w:szCs w:val="18"/>
                <w:lang w:val="en-US" w:eastAsia="zh-CN"/>
              </w:rPr>
              <w:t>-0</w:t>
            </w:r>
            <w:r>
              <w:rPr>
                <w:rFonts w:hint="eastAsia" w:ascii="宋体" w:hAnsi="宋体" w:cs="宋体"/>
                <w:color w:val="auto"/>
                <w:spacing w:val="3"/>
                <w:sz w:val="18"/>
                <w:szCs w:val="18"/>
                <w:lang w:val="en-US" w:eastAsia="zh-CN"/>
              </w:rPr>
              <w:t>1</w:t>
            </w:r>
            <w:r>
              <w:rPr>
                <w:rFonts w:hint="eastAsia" w:ascii="宋体" w:hAnsi="宋体" w:eastAsia="宋体" w:cs="宋体"/>
                <w:color w:val="auto"/>
                <w:spacing w:val="3"/>
                <w:sz w:val="18"/>
                <w:szCs w:val="18"/>
                <w:lang w:val="en-US" w:eastAsia="zh-CN"/>
              </w:rPr>
              <w:t>-</w:t>
            </w:r>
            <w:r>
              <w:rPr>
                <w:rFonts w:hint="eastAsia" w:ascii="宋体" w:hAnsi="宋体" w:cs="宋体"/>
                <w:color w:val="auto"/>
                <w:spacing w:val="3"/>
                <w:sz w:val="18"/>
                <w:szCs w:val="18"/>
                <w:lang w:val="en-US" w:eastAsia="zh-CN"/>
              </w:rPr>
              <w:t>18</w:t>
            </w:r>
            <w:r>
              <w:rPr>
                <w:rFonts w:hint="eastAsia" w:ascii="宋体" w:hAnsi="宋体" w:eastAsia="宋体" w:cs="宋体"/>
                <w:color w:val="auto"/>
                <w:spacing w:val="3"/>
                <w:sz w:val="18"/>
                <w:szCs w:val="18"/>
                <w:lang w:val="en-US" w:eastAsia="zh-CN"/>
              </w:rPr>
              <w:t>至202</w:t>
            </w:r>
            <w:r>
              <w:rPr>
                <w:rFonts w:hint="eastAsia" w:ascii="宋体" w:hAnsi="宋体" w:cs="宋体"/>
                <w:color w:val="auto"/>
                <w:spacing w:val="3"/>
                <w:sz w:val="18"/>
                <w:szCs w:val="18"/>
                <w:lang w:val="en-US" w:eastAsia="zh-CN"/>
              </w:rPr>
              <w:t>7</w:t>
            </w:r>
            <w:r>
              <w:rPr>
                <w:rFonts w:hint="eastAsia" w:ascii="宋体" w:hAnsi="宋体" w:eastAsia="宋体" w:cs="宋体"/>
                <w:color w:val="auto"/>
                <w:spacing w:val="3"/>
                <w:sz w:val="18"/>
                <w:szCs w:val="18"/>
                <w:lang w:val="en-US" w:eastAsia="zh-CN"/>
              </w:rPr>
              <w:t>-0</w:t>
            </w:r>
            <w:r>
              <w:rPr>
                <w:rFonts w:hint="eastAsia" w:ascii="宋体" w:hAnsi="宋体" w:cs="宋体"/>
                <w:color w:val="auto"/>
                <w:spacing w:val="3"/>
                <w:sz w:val="18"/>
                <w:szCs w:val="18"/>
                <w:lang w:val="en-US" w:eastAsia="zh-CN"/>
              </w:rPr>
              <w:t>1</w:t>
            </w:r>
            <w:r>
              <w:rPr>
                <w:rFonts w:hint="eastAsia" w:ascii="宋体" w:hAnsi="宋体" w:eastAsia="宋体" w:cs="宋体"/>
                <w:color w:val="auto"/>
                <w:spacing w:val="3"/>
                <w:sz w:val="18"/>
                <w:szCs w:val="18"/>
                <w:lang w:val="en-US" w:eastAsia="zh-CN"/>
              </w:rPr>
              <w:t>-</w:t>
            </w:r>
            <w:r>
              <w:rPr>
                <w:rFonts w:hint="eastAsia" w:ascii="宋体" w:hAnsi="宋体" w:cs="宋体"/>
                <w:color w:val="auto"/>
                <w:spacing w:val="3"/>
                <w:sz w:val="18"/>
                <w:szCs w:val="18"/>
                <w:lang w:val="en-US" w:eastAsia="zh-CN"/>
              </w:rPr>
              <w:t>17</w:t>
            </w:r>
          </w:p>
        </w:tc>
        <w:tc>
          <w:tcPr>
            <w:tcW w:w="2236" w:type="dxa"/>
            <w:vAlign w:val="center"/>
          </w:tcPr>
          <w:p w14:paraId="4A600EC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赣州市行政审批局</w:t>
            </w:r>
          </w:p>
        </w:tc>
      </w:tr>
    </w:tbl>
    <w:p w14:paraId="2AB00CC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表2</w:t>
      </w:r>
      <w:r>
        <w:rPr>
          <w:rFonts w:hint="eastAsia" w:ascii="Times New Roman" w:hAnsi="Times New Roman" w:cs="Times New Roman"/>
          <w:color w:val="auto"/>
          <w:lang w:val="en-US" w:eastAsia="zh-CN"/>
        </w:rPr>
        <w:t>.6</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2工程技术</w:t>
      </w:r>
      <w:r>
        <w:rPr>
          <w:rFonts w:hint="default" w:ascii="Times New Roman" w:hAnsi="Times New Roman" w:cs="Times New Roman"/>
          <w:color w:val="auto"/>
          <w:lang w:val="en-US" w:eastAsia="zh-CN"/>
        </w:rPr>
        <w:t>人员证</w:t>
      </w:r>
      <w:r>
        <w:rPr>
          <w:rFonts w:hint="eastAsia" w:ascii="Times New Roman" w:hAnsi="Times New Roman" w:cs="Times New Roman"/>
          <w:color w:val="auto"/>
          <w:lang w:val="en-US" w:eastAsia="zh-CN"/>
        </w:rPr>
        <w:t>书</w:t>
      </w:r>
      <w:r>
        <w:rPr>
          <w:rFonts w:hint="default" w:ascii="Times New Roman" w:hAnsi="Times New Roman" w:cs="Times New Roman"/>
          <w:color w:val="auto"/>
          <w:lang w:val="en-US" w:eastAsia="zh-CN"/>
        </w:rPr>
        <w:t>情况</w:t>
      </w:r>
    </w:p>
    <w:tbl>
      <w:tblPr>
        <w:tblStyle w:val="18"/>
        <w:tblW w:w="493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7"/>
        <w:gridCol w:w="1994"/>
        <w:gridCol w:w="1267"/>
        <w:gridCol w:w="2694"/>
        <w:gridCol w:w="2672"/>
      </w:tblGrid>
      <w:tr w14:paraId="06B3A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 w:type="pct"/>
            <w:vAlign w:val="center"/>
          </w:tcPr>
          <w:p w14:paraId="23872C32">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eastAsia"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序</w:t>
            </w:r>
          </w:p>
          <w:p w14:paraId="7C67FFB6">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号</w:t>
            </w:r>
          </w:p>
        </w:tc>
        <w:tc>
          <w:tcPr>
            <w:tcW w:w="1088" w:type="pct"/>
            <w:vAlign w:val="center"/>
          </w:tcPr>
          <w:p w14:paraId="2D2C0094">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职   位</w:t>
            </w:r>
          </w:p>
        </w:tc>
        <w:tc>
          <w:tcPr>
            <w:tcW w:w="691" w:type="pct"/>
            <w:vAlign w:val="center"/>
          </w:tcPr>
          <w:p w14:paraId="73F82B00">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姓  名</w:t>
            </w:r>
          </w:p>
        </w:tc>
        <w:tc>
          <w:tcPr>
            <w:tcW w:w="1469" w:type="pct"/>
            <w:vAlign w:val="center"/>
          </w:tcPr>
          <w:p w14:paraId="51ECCA00">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证书编号</w:t>
            </w:r>
          </w:p>
        </w:tc>
        <w:tc>
          <w:tcPr>
            <w:tcW w:w="1457" w:type="pct"/>
            <w:vAlign w:val="center"/>
          </w:tcPr>
          <w:p w14:paraId="7E463B5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发证机构</w:t>
            </w:r>
          </w:p>
        </w:tc>
      </w:tr>
      <w:tr w14:paraId="2229D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 w:type="pct"/>
            <w:vAlign w:val="center"/>
          </w:tcPr>
          <w:p w14:paraId="2A33D3F1">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1</w:t>
            </w:r>
          </w:p>
        </w:tc>
        <w:tc>
          <w:tcPr>
            <w:tcW w:w="1088" w:type="pct"/>
            <w:vAlign w:val="center"/>
          </w:tcPr>
          <w:p w14:paraId="7871B20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选矿工程</w:t>
            </w:r>
          </w:p>
        </w:tc>
        <w:tc>
          <w:tcPr>
            <w:tcW w:w="691" w:type="pct"/>
            <w:vAlign w:val="center"/>
          </w:tcPr>
          <w:p w14:paraId="13171A65">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李强</w:t>
            </w:r>
          </w:p>
        </w:tc>
        <w:tc>
          <w:tcPr>
            <w:tcW w:w="1469" w:type="pct"/>
            <w:vAlign w:val="center"/>
          </w:tcPr>
          <w:p w14:paraId="62A37963">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cs="宋体"/>
                <w:color w:val="auto"/>
                <w:spacing w:val="3"/>
                <w:sz w:val="18"/>
                <w:szCs w:val="18"/>
                <w:lang w:val="en-US" w:eastAsia="zh-CN"/>
              </w:rPr>
              <w:t>/</w:t>
            </w:r>
          </w:p>
        </w:tc>
        <w:tc>
          <w:tcPr>
            <w:tcW w:w="1457" w:type="pct"/>
            <w:vAlign w:val="center"/>
          </w:tcPr>
          <w:p w14:paraId="513AB417">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西安建筑科技大学</w:t>
            </w:r>
          </w:p>
        </w:tc>
      </w:tr>
    </w:tbl>
    <w:p w14:paraId="04D9A84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表2.6-3尾矿工持证情况</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604"/>
        <w:gridCol w:w="1020"/>
        <w:gridCol w:w="2160"/>
        <w:gridCol w:w="1740"/>
        <w:gridCol w:w="2236"/>
      </w:tblGrid>
      <w:tr w14:paraId="5F3B6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7ABE83C7">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eastAsia"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序</w:t>
            </w:r>
          </w:p>
          <w:p w14:paraId="57FC7B1F">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号</w:t>
            </w:r>
          </w:p>
        </w:tc>
        <w:tc>
          <w:tcPr>
            <w:tcW w:w="1604" w:type="dxa"/>
            <w:vAlign w:val="center"/>
          </w:tcPr>
          <w:p w14:paraId="7C3386F1">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职   位</w:t>
            </w:r>
          </w:p>
        </w:tc>
        <w:tc>
          <w:tcPr>
            <w:tcW w:w="1020" w:type="dxa"/>
            <w:vAlign w:val="center"/>
          </w:tcPr>
          <w:p w14:paraId="24098CAB">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姓  名</w:t>
            </w:r>
          </w:p>
        </w:tc>
        <w:tc>
          <w:tcPr>
            <w:tcW w:w="2160" w:type="dxa"/>
            <w:vAlign w:val="center"/>
          </w:tcPr>
          <w:p w14:paraId="057FE66D">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证书编号</w:t>
            </w:r>
          </w:p>
        </w:tc>
        <w:tc>
          <w:tcPr>
            <w:tcW w:w="1740" w:type="dxa"/>
            <w:vAlign w:val="center"/>
          </w:tcPr>
          <w:p w14:paraId="4A4AA70B">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有效期限</w:t>
            </w:r>
          </w:p>
        </w:tc>
        <w:tc>
          <w:tcPr>
            <w:tcW w:w="2236" w:type="dxa"/>
            <w:vAlign w:val="center"/>
          </w:tcPr>
          <w:p w14:paraId="3D15DFF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发证机构</w:t>
            </w:r>
          </w:p>
        </w:tc>
      </w:tr>
      <w:tr w14:paraId="72467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5A8524B9">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1</w:t>
            </w:r>
          </w:p>
        </w:tc>
        <w:tc>
          <w:tcPr>
            <w:tcW w:w="1604" w:type="dxa"/>
            <w:vAlign w:val="center"/>
          </w:tcPr>
          <w:p w14:paraId="036F510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尾矿工</w:t>
            </w:r>
          </w:p>
        </w:tc>
        <w:tc>
          <w:tcPr>
            <w:tcW w:w="1020" w:type="dxa"/>
            <w:vAlign w:val="center"/>
          </w:tcPr>
          <w:p w14:paraId="5A8295D2">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何卫华</w:t>
            </w:r>
          </w:p>
        </w:tc>
        <w:tc>
          <w:tcPr>
            <w:tcW w:w="2160" w:type="dxa"/>
            <w:vAlign w:val="center"/>
          </w:tcPr>
          <w:p w14:paraId="15C6E8D8">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T362531197712150291</w:t>
            </w:r>
          </w:p>
        </w:tc>
        <w:tc>
          <w:tcPr>
            <w:tcW w:w="1740" w:type="dxa"/>
            <w:vAlign w:val="center"/>
          </w:tcPr>
          <w:p w14:paraId="5F648C6A">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eastAsia"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2023-0</w:t>
            </w:r>
            <w:r>
              <w:rPr>
                <w:rFonts w:hint="eastAsia" w:ascii="宋体" w:hAnsi="宋体" w:cs="宋体"/>
                <w:color w:val="auto"/>
                <w:spacing w:val="3"/>
                <w:sz w:val="18"/>
                <w:szCs w:val="18"/>
                <w:lang w:val="en-US" w:eastAsia="zh-CN"/>
              </w:rPr>
              <w:t>6</w:t>
            </w:r>
            <w:r>
              <w:rPr>
                <w:rFonts w:hint="eastAsia" w:ascii="宋体" w:hAnsi="宋体" w:eastAsia="宋体" w:cs="宋体"/>
                <w:color w:val="auto"/>
                <w:spacing w:val="3"/>
                <w:sz w:val="18"/>
                <w:szCs w:val="18"/>
                <w:lang w:val="en-US" w:eastAsia="zh-CN"/>
              </w:rPr>
              <w:t>-02至2029-0</w:t>
            </w:r>
            <w:r>
              <w:rPr>
                <w:rFonts w:hint="eastAsia" w:ascii="宋体" w:hAnsi="宋体" w:cs="宋体"/>
                <w:color w:val="auto"/>
                <w:spacing w:val="3"/>
                <w:sz w:val="18"/>
                <w:szCs w:val="18"/>
                <w:lang w:val="en-US" w:eastAsia="zh-CN"/>
              </w:rPr>
              <w:t>6</w:t>
            </w:r>
            <w:r>
              <w:rPr>
                <w:rFonts w:hint="eastAsia" w:ascii="宋体" w:hAnsi="宋体" w:eastAsia="宋体" w:cs="宋体"/>
                <w:color w:val="auto"/>
                <w:spacing w:val="3"/>
                <w:sz w:val="18"/>
                <w:szCs w:val="18"/>
                <w:lang w:val="en-US" w:eastAsia="zh-CN"/>
              </w:rPr>
              <w:t>-01</w:t>
            </w:r>
          </w:p>
        </w:tc>
        <w:tc>
          <w:tcPr>
            <w:tcW w:w="2236" w:type="dxa"/>
            <w:vAlign w:val="center"/>
          </w:tcPr>
          <w:p w14:paraId="0DF9580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江西省应急管理厅</w:t>
            </w:r>
          </w:p>
        </w:tc>
      </w:tr>
      <w:tr w14:paraId="1CD73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5353D9A9">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2</w:t>
            </w:r>
          </w:p>
        </w:tc>
        <w:tc>
          <w:tcPr>
            <w:tcW w:w="1604" w:type="dxa"/>
            <w:vAlign w:val="center"/>
          </w:tcPr>
          <w:p w14:paraId="130D7499">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尾矿工</w:t>
            </w:r>
          </w:p>
        </w:tc>
        <w:tc>
          <w:tcPr>
            <w:tcW w:w="1020" w:type="dxa"/>
            <w:vAlign w:val="center"/>
          </w:tcPr>
          <w:p w14:paraId="11A63A51">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default"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凌军</w:t>
            </w:r>
          </w:p>
        </w:tc>
        <w:tc>
          <w:tcPr>
            <w:tcW w:w="2160" w:type="dxa"/>
            <w:vAlign w:val="center"/>
          </w:tcPr>
          <w:p w14:paraId="45CB90B6">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eastAsia" w:ascii="宋体" w:hAnsi="宋体" w:eastAsia="宋体" w:cs="宋体"/>
                <w:color w:val="auto"/>
                <w:spacing w:val="3"/>
                <w:sz w:val="18"/>
                <w:szCs w:val="18"/>
                <w:lang w:val="en-US" w:eastAsia="zh-CN"/>
              </w:rPr>
            </w:pPr>
            <w:r>
              <w:rPr>
                <w:rFonts w:hint="eastAsia" w:ascii="宋体" w:hAnsi="宋体" w:cs="宋体"/>
                <w:color w:val="auto"/>
                <w:spacing w:val="3"/>
                <w:sz w:val="18"/>
                <w:szCs w:val="18"/>
                <w:lang w:val="en-US" w:eastAsia="zh-CN"/>
              </w:rPr>
              <w:t>T</w:t>
            </w:r>
            <w:r>
              <w:rPr>
                <w:rFonts w:hint="eastAsia" w:ascii="宋体" w:hAnsi="宋体" w:eastAsia="宋体" w:cs="宋体"/>
                <w:color w:val="auto"/>
                <w:spacing w:val="3"/>
                <w:sz w:val="18"/>
                <w:szCs w:val="18"/>
                <w:lang w:val="en-US" w:eastAsia="zh-CN"/>
              </w:rPr>
              <w:t>640203198312080018</w:t>
            </w:r>
          </w:p>
        </w:tc>
        <w:tc>
          <w:tcPr>
            <w:tcW w:w="1740" w:type="dxa"/>
            <w:vAlign w:val="center"/>
          </w:tcPr>
          <w:p w14:paraId="175798EA">
            <w:pPr>
              <w:keepNext w:val="0"/>
              <w:keepLines w:val="0"/>
              <w:pageBreakBefore w:val="0"/>
              <w:widowControl w:val="0"/>
              <w:kinsoku/>
              <w:wordWrap/>
              <w:overflowPunct/>
              <w:topLinePunct w:val="0"/>
              <w:autoSpaceDE/>
              <w:autoSpaceDN/>
              <w:bidi w:val="0"/>
              <w:adjustRightInd w:val="0"/>
              <w:snapToGrid w:val="0"/>
              <w:spacing w:before="35" w:line="185" w:lineRule="auto"/>
              <w:ind w:right="135" w:firstLine="0" w:firstLineChars="0"/>
              <w:jc w:val="center"/>
              <w:textAlignment w:val="auto"/>
              <w:rPr>
                <w:rFonts w:hint="eastAsia" w:ascii="宋体" w:hAnsi="宋体" w:eastAsia="宋体" w:cs="宋体"/>
                <w:color w:val="auto"/>
                <w:spacing w:val="3"/>
                <w:sz w:val="18"/>
                <w:szCs w:val="18"/>
                <w:lang w:val="en-US" w:eastAsia="zh-CN"/>
              </w:rPr>
            </w:pPr>
            <w:r>
              <w:rPr>
                <w:rFonts w:hint="eastAsia" w:ascii="宋体" w:hAnsi="宋体" w:eastAsia="宋体" w:cs="宋体"/>
                <w:color w:val="auto"/>
                <w:spacing w:val="3"/>
                <w:sz w:val="18"/>
                <w:szCs w:val="18"/>
                <w:lang w:val="en-US" w:eastAsia="zh-CN"/>
              </w:rPr>
              <w:t>2023-08-02至2029-08-01</w:t>
            </w:r>
          </w:p>
        </w:tc>
        <w:tc>
          <w:tcPr>
            <w:tcW w:w="2236" w:type="dxa"/>
            <w:vAlign w:val="center"/>
          </w:tcPr>
          <w:p w14:paraId="41CFF57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江西省应急管理厅</w:t>
            </w:r>
          </w:p>
        </w:tc>
      </w:tr>
    </w:tbl>
    <w:p w14:paraId="29A79E4B">
      <w:pP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其中，安全管理人员叶初荣、黄仕涛，选矿工程师李强、尾矿工何卫华目前正在办理入职手续</w:t>
      </w:r>
      <w:r>
        <w:rPr>
          <w:rFonts w:hint="default" w:ascii="Times New Roman" w:hAnsi="Times New Roman" w:cs="Times New Roman"/>
          <w:color w:val="auto"/>
          <w:lang w:val="en-US" w:eastAsia="zh-CN"/>
        </w:rPr>
        <w:t>。</w:t>
      </w:r>
    </w:p>
    <w:p w14:paraId="7471D306">
      <w:pPr>
        <w:pStyle w:val="5"/>
        <w:bidi w:val="0"/>
        <w:rPr>
          <w:rFonts w:hint="default"/>
          <w:color w:val="auto"/>
          <w:lang w:val="en-US" w:eastAsia="zh-CN"/>
        </w:rPr>
      </w:pPr>
      <w:bookmarkStart w:id="50" w:name="_Toc22942"/>
      <w:r>
        <w:rPr>
          <w:rFonts w:hint="default"/>
          <w:color w:val="auto"/>
          <w:lang w:val="en-US" w:eastAsia="zh-CN"/>
        </w:rPr>
        <w:t>2.</w:t>
      </w:r>
      <w:r>
        <w:rPr>
          <w:rFonts w:hint="eastAsia"/>
          <w:color w:val="auto"/>
          <w:lang w:val="en-US" w:eastAsia="zh-CN"/>
        </w:rPr>
        <w:t>6</w:t>
      </w:r>
      <w:r>
        <w:rPr>
          <w:rFonts w:hint="default"/>
          <w:color w:val="auto"/>
          <w:lang w:val="en-US" w:eastAsia="zh-CN"/>
        </w:rPr>
        <w:t>.2 安全培训与教育</w:t>
      </w:r>
      <w:bookmarkEnd w:id="50"/>
    </w:p>
    <w:p w14:paraId="1C441DA9">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每年制定年度安全教育培训计划明细表，并按计划组织培训活动，做到了年前有计划、年中有检查、年终有总结。主要负责人、班组长、安全管理人员及特种作业人员经教育培训获得相应安全资质，资质在有效期内。</w:t>
      </w:r>
    </w:p>
    <w:p w14:paraId="6D21425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经现场检查，江西临川鲁金矿业有限公司茅排金矿选厂所有生产作业人员每年至少接受了20小时职业安全再培训，并经考试合格。</w:t>
      </w:r>
    </w:p>
    <w:p w14:paraId="3ACE9FBB">
      <w:pPr>
        <w:pStyle w:val="5"/>
        <w:bidi w:val="0"/>
        <w:rPr>
          <w:rFonts w:hint="default"/>
          <w:lang w:val="en-US" w:eastAsia="zh-CN"/>
        </w:rPr>
      </w:pPr>
      <w:bookmarkStart w:id="51" w:name="_Toc7179"/>
      <w:r>
        <w:rPr>
          <w:rFonts w:hint="default"/>
          <w:lang w:val="en-US" w:eastAsia="zh-CN"/>
        </w:rPr>
        <w:t>2.</w:t>
      </w:r>
      <w:r>
        <w:rPr>
          <w:rFonts w:hint="eastAsia"/>
          <w:lang w:val="en-US" w:eastAsia="zh-CN"/>
        </w:rPr>
        <w:t>6</w:t>
      </w:r>
      <w:r>
        <w:rPr>
          <w:rFonts w:hint="default"/>
          <w:lang w:val="en-US" w:eastAsia="zh-CN"/>
        </w:rPr>
        <w:t>.3 规章制度建设</w:t>
      </w:r>
      <w:bookmarkEnd w:id="51"/>
    </w:p>
    <w:p w14:paraId="5E17754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公司建立了安全生产责任制、安全生产管理制度、岗位安全操作规程。</w:t>
      </w:r>
    </w:p>
    <w:p w14:paraId="70B086D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安全生产责任制：包括各级领导、各岗位人员、以及职能部门的安全生产责任制。</w:t>
      </w:r>
    </w:p>
    <w:p w14:paraId="1FC6F8A9">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安全生产管理制度：安全检查制度、职业危害预防制度、安全教育培训制度、生产安全事故管理制度、重大危险源监控和重大隐患整改制度、设备设施安全管理制度、安全生产档案管理制度、安全生产奖惩制度、安全目标管理制度、安全例会制度、事故隐患排查与整改制度、安全技术措施审批制度、劳动防护用品管理制度、特种作业人员管理制度、 图纸技术资料更新制度、安全技术措施专项经费管理制度、应急管理制度、尾矿库管理制度、计划外用工管理规定、设备管理规定等制度。</w:t>
      </w:r>
    </w:p>
    <w:p w14:paraId="3B09AC2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岗位安全操作规程：包括全矿通用安全操作规程及采矿、选矿、尾矿工等各岗位安全操作规程。</w:t>
      </w:r>
    </w:p>
    <w:p w14:paraId="79AEC9AC">
      <w:pPr>
        <w:pStyle w:val="5"/>
        <w:bidi w:val="0"/>
        <w:rPr>
          <w:rFonts w:hint="default"/>
          <w:lang w:val="en-US" w:eastAsia="zh-CN"/>
        </w:rPr>
      </w:pPr>
      <w:bookmarkStart w:id="52" w:name="_Toc6490"/>
      <w:r>
        <w:rPr>
          <w:rFonts w:hint="default"/>
          <w:lang w:val="en-US" w:eastAsia="zh-CN"/>
        </w:rPr>
        <w:t>2.</w:t>
      </w:r>
      <w:r>
        <w:rPr>
          <w:rFonts w:hint="eastAsia"/>
          <w:lang w:val="en-US" w:eastAsia="zh-CN"/>
        </w:rPr>
        <w:t>6</w:t>
      </w:r>
      <w:r>
        <w:rPr>
          <w:rFonts w:hint="default"/>
          <w:lang w:val="en-US" w:eastAsia="zh-CN"/>
        </w:rPr>
        <w:t>.4 应急管理</w:t>
      </w:r>
      <w:bookmarkEnd w:id="52"/>
    </w:p>
    <w:p w14:paraId="199725D0">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江西临川鲁金矿业有限公司制定了《江西临川鲁金矿业有限公司茅排金矿庄前尾矿库生产安全事故应急预案》，于202</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年3月16日在抚州市</w:t>
      </w:r>
      <w:r>
        <w:rPr>
          <w:rFonts w:hint="eastAsia" w:ascii="Times New Roman" w:hAnsi="Times New Roman" w:cs="Times New Roman"/>
          <w:color w:val="auto"/>
          <w:lang w:val="en-US" w:eastAsia="zh-CN"/>
        </w:rPr>
        <w:t>临川区应急管理局</w:t>
      </w:r>
      <w:r>
        <w:rPr>
          <w:rFonts w:hint="default" w:ascii="Times New Roman" w:hAnsi="Times New Roman" w:cs="Times New Roman"/>
          <w:color w:val="auto"/>
          <w:lang w:val="en-US" w:eastAsia="zh-CN"/>
        </w:rPr>
        <w:t>进行了备案，备案编号：361002-202</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-005。</w:t>
      </w:r>
    </w:p>
    <w:p w14:paraId="24A487C2">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针对尾矿库可能发生的事故制定了专项应急救援预案：如库坝垮坝事故专项应急预案、排洪系统设施堵塞事故专项应急预案、坝坡深层滑动事故专项应急预案等；同时制定了现场处置方案，包括排洪系统设施堵塞损毁事故现场处置方案、洪水漫顶事故现场处置方案、暴雨山洪自然灾害现场处置方案、山体滑坡自然灾害现场处置方案、高处坠落事故现场处置方案等。</w:t>
      </w:r>
    </w:p>
    <w:p w14:paraId="3083B4C3">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江西临川鲁金矿业有限公司成立了应急指挥组织机构及应急指挥组织领导小组，应急救援物资较充足，每年定期组织开展事故应急演练活动，并与江西省</w:t>
      </w:r>
      <w:r>
        <w:rPr>
          <w:rFonts w:hint="eastAsia" w:ascii="Times New Roman" w:hAnsi="Times New Roman" w:cs="Times New Roman"/>
          <w:color w:val="auto"/>
          <w:lang w:val="en-US" w:eastAsia="zh-CN"/>
        </w:rPr>
        <w:t>煤业集团有限责任公司矿山救护总队</w:t>
      </w:r>
      <w:r>
        <w:rPr>
          <w:rFonts w:hint="default" w:ascii="Times New Roman" w:hAnsi="Times New Roman" w:cs="Times New Roman"/>
          <w:color w:val="auto"/>
          <w:lang w:val="en-US" w:eastAsia="zh-CN"/>
        </w:rPr>
        <w:t>签订了应急救援服务协议书。期限为：202</w:t>
      </w:r>
      <w:r>
        <w:rPr>
          <w:rFonts w:hint="eastAsia" w:ascii="Times New Roman" w:hAnsi="Times New Roman" w:cs="Times New Roman"/>
          <w:color w:val="auto"/>
          <w:lang w:val="en-US" w:eastAsia="zh-CN"/>
        </w:rPr>
        <w:t>4</w:t>
      </w:r>
      <w:r>
        <w:rPr>
          <w:rFonts w:hint="default" w:ascii="Times New Roman" w:hAnsi="Times New Roman" w:cs="Times New Roman"/>
          <w:color w:val="auto"/>
          <w:lang w:val="en-US" w:eastAsia="zh-CN"/>
        </w:rPr>
        <w:t>年0</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月01日至202</w:t>
      </w:r>
      <w:r>
        <w:rPr>
          <w:rFonts w:hint="eastAsia" w:ascii="Times New Roman" w:hAnsi="Times New Roman" w:cs="Times New Roman"/>
          <w:color w:val="auto"/>
          <w:lang w:val="en-US" w:eastAsia="zh-CN"/>
        </w:rPr>
        <w:t>5</w:t>
      </w:r>
      <w:r>
        <w:rPr>
          <w:rFonts w:hint="default" w:ascii="Times New Roman" w:hAnsi="Times New Roman" w:cs="Times New Roman"/>
          <w:color w:val="auto"/>
          <w:lang w:val="en-US" w:eastAsia="zh-CN"/>
        </w:rPr>
        <w:t>年2月</w:t>
      </w:r>
      <w:r>
        <w:rPr>
          <w:rFonts w:hint="eastAsia" w:ascii="Times New Roman" w:hAnsi="Times New Roman" w:cs="Times New Roman"/>
          <w:color w:val="auto"/>
          <w:lang w:val="en-US" w:eastAsia="zh-CN"/>
        </w:rPr>
        <w:t>29</w:t>
      </w:r>
      <w:r>
        <w:rPr>
          <w:rFonts w:hint="default" w:ascii="Times New Roman" w:hAnsi="Times New Roman" w:cs="Times New Roman"/>
          <w:color w:val="auto"/>
          <w:lang w:val="en-US" w:eastAsia="zh-CN"/>
        </w:rPr>
        <w:t>日。</w:t>
      </w:r>
    </w:p>
    <w:p w14:paraId="6C22CD7A">
      <w:pPr>
        <w:pStyle w:val="5"/>
        <w:bidi w:val="0"/>
        <w:rPr>
          <w:rFonts w:hint="default"/>
          <w:lang w:val="en-US" w:eastAsia="zh-CN"/>
        </w:rPr>
      </w:pPr>
      <w:bookmarkStart w:id="53" w:name="_Toc6492"/>
      <w:r>
        <w:rPr>
          <w:rFonts w:hint="default"/>
          <w:lang w:val="en-US" w:eastAsia="zh-CN"/>
        </w:rPr>
        <w:t>2.</w:t>
      </w:r>
      <w:r>
        <w:rPr>
          <w:rFonts w:hint="eastAsia"/>
          <w:lang w:val="en-US" w:eastAsia="zh-CN"/>
        </w:rPr>
        <w:t>6</w:t>
      </w:r>
      <w:r>
        <w:rPr>
          <w:rFonts w:hint="default"/>
          <w:lang w:val="en-US" w:eastAsia="zh-CN"/>
        </w:rPr>
        <w:t>.5 安全检查</w:t>
      </w:r>
      <w:bookmarkEnd w:id="53"/>
    </w:p>
    <w:p w14:paraId="7A9C125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公司正常开展公司、选厂、班组级安全检查工作，建立日常运行记录。矿山对尾矿库建立日常巡查检查记录，对尾矿坝、截洪沟、排洪沟及库区进行巡查，禁止他人在库区内放牧、取土、采石，做到一天一查，针对检查的内容，每天记录在案。遇强降雨时24小时值守巡库，发现异常立即处置并报告负责人。</w:t>
      </w:r>
    </w:p>
    <w:p w14:paraId="228C43D1">
      <w:pPr>
        <w:pStyle w:val="5"/>
        <w:bidi w:val="0"/>
        <w:rPr>
          <w:rFonts w:hint="default"/>
          <w:lang w:val="en-US" w:eastAsia="zh-CN"/>
        </w:rPr>
      </w:pPr>
      <w:bookmarkStart w:id="54" w:name="_Toc8312"/>
      <w:r>
        <w:rPr>
          <w:rFonts w:hint="default"/>
          <w:lang w:val="en-US" w:eastAsia="zh-CN"/>
        </w:rPr>
        <w:t>2.</w:t>
      </w:r>
      <w:r>
        <w:rPr>
          <w:rFonts w:hint="eastAsia"/>
          <w:lang w:val="en-US" w:eastAsia="zh-CN"/>
        </w:rPr>
        <w:t>6</w:t>
      </w:r>
      <w:r>
        <w:rPr>
          <w:rFonts w:hint="default"/>
          <w:lang w:val="en-US" w:eastAsia="zh-CN"/>
        </w:rPr>
        <w:t>.6 安全标准化情况</w:t>
      </w:r>
      <w:bookmarkEnd w:id="54"/>
    </w:p>
    <w:p w14:paraId="4483D1C7">
      <w:pP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江西临川鲁金矿业有限公司庄前尾矿库于2018年12月5日取得抚州市安</w:t>
      </w:r>
      <w:r>
        <w:rPr>
          <w:rFonts w:hint="default" w:ascii="Times New Roman" w:hAnsi="Times New Roman" w:eastAsia="宋体" w:cs="Times New Roman"/>
          <w:color w:val="auto"/>
          <w:lang w:val="en-US" w:eastAsia="zh-CN"/>
        </w:rPr>
        <w:t>全生产监督管理局颁发的尾矿库三级安全生产标准化证书，证书编号：（抚）AQBK三[2018]033，有效期至2021年12月4日。</w:t>
      </w:r>
    </w:p>
    <w:p w14:paraId="3692CDC9">
      <w:pP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目前，企业已向抚州市应急管理局申请评审，正在积极准备评审事宜</w:t>
      </w:r>
      <w:r>
        <w:rPr>
          <w:rFonts w:hint="default" w:ascii="Times New Roman" w:hAnsi="Times New Roman" w:eastAsia="宋体" w:cs="Times New Roman"/>
          <w:color w:val="auto"/>
          <w:lang w:val="en-US" w:eastAsia="zh-CN"/>
        </w:rPr>
        <w:t>。</w:t>
      </w:r>
    </w:p>
    <w:p w14:paraId="5E8AD165">
      <w:pPr>
        <w:pStyle w:val="5"/>
        <w:bidi w:val="0"/>
        <w:rPr>
          <w:rFonts w:hint="default"/>
          <w:color w:val="auto"/>
          <w:lang w:val="en-US" w:eastAsia="zh-CN"/>
        </w:rPr>
      </w:pPr>
      <w:bookmarkStart w:id="55" w:name="_Toc26860"/>
      <w:r>
        <w:rPr>
          <w:rFonts w:hint="default"/>
          <w:color w:val="auto"/>
          <w:lang w:val="en-US" w:eastAsia="zh-CN"/>
        </w:rPr>
        <w:t>2.</w:t>
      </w:r>
      <w:r>
        <w:rPr>
          <w:rFonts w:hint="eastAsia"/>
          <w:color w:val="auto"/>
          <w:lang w:val="en-US" w:eastAsia="zh-CN"/>
        </w:rPr>
        <w:t>6</w:t>
      </w:r>
      <w:r>
        <w:rPr>
          <w:rFonts w:hint="default"/>
          <w:color w:val="auto"/>
          <w:lang w:val="en-US" w:eastAsia="zh-CN"/>
        </w:rPr>
        <w:t>.7 安全措施费用</w:t>
      </w:r>
      <w:bookmarkEnd w:id="55"/>
    </w:p>
    <w:p w14:paraId="55F23B2D">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制定了安全生产费用投入与管理制度以保障企业的安全投入，严格按照规定足额提取并投入安全专项经费，专款专用，用于尾矿库安全生产设施的改造和隐患整改，努力改善尾矿库安全生产条件。根据财资〔2022〕136号文件要求，</w:t>
      </w:r>
      <w:r>
        <w:rPr>
          <w:rFonts w:hint="eastAsia" w:ascii="Times New Roman" w:hAnsi="Times New Roman" w:cs="Times New Roman"/>
          <w:color w:val="auto"/>
          <w:lang w:val="en-US" w:eastAsia="zh-CN"/>
        </w:rPr>
        <w:t>企业</w:t>
      </w:r>
      <w:r>
        <w:rPr>
          <w:rFonts w:hint="default" w:ascii="Times New Roman" w:hAnsi="Times New Roman" w:cs="Times New Roman"/>
          <w:color w:val="auto"/>
          <w:lang w:val="en-US" w:eastAsia="zh-CN"/>
        </w:rPr>
        <w:t>202</w:t>
      </w:r>
      <w:r>
        <w:rPr>
          <w:rFonts w:hint="eastAsia" w:ascii="Times New Roman" w:hAnsi="Times New Roman" w:cs="Times New Roman"/>
          <w:color w:val="auto"/>
          <w:lang w:val="en-US" w:eastAsia="zh-CN"/>
        </w:rPr>
        <w:t>4</w:t>
      </w:r>
      <w:r>
        <w:rPr>
          <w:rFonts w:hint="default" w:ascii="Times New Roman" w:hAnsi="Times New Roman" w:cs="Times New Roman"/>
          <w:color w:val="auto"/>
          <w:lang w:val="en-US" w:eastAsia="zh-CN"/>
        </w:rPr>
        <w:t>年共提取了安全生产费用</w:t>
      </w:r>
      <w:r>
        <w:rPr>
          <w:rFonts w:hint="eastAsia" w:ascii="Times New Roman" w:hAnsi="Times New Roman" w:cs="Times New Roman"/>
          <w:color w:val="auto"/>
          <w:lang w:val="en-US" w:eastAsia="zh-CN"/>
        </w:rPr>
        <w:t>78750</w:t>
      </w:r>
      <w:r>
        <w:rPr>
          <w:rFonts w:hint="default" w:ascii="Times New Roman" w:hAnsi="Times New Roman" w:cs="Times New Roman"/>
          <w:color w:val="auto"/>
          <w:lang w:val="en-US" w:eastAsia="zh-CN"/>
        </w:rPr>
        <w:t>元</w:t>
      </w:r>
      <w:r>
        <w:rPr>
          <w:rFonts w:hint="eastAsia" w:ascii="Times New Roman" w:hAnsi="Times New Roman" w:cs="Times New Roman"/>
          <w:color w:val="auto"/>
          <w:lang w:val="en-US" w:eastAsia="zh-CN"/>
        </w:rPr>
        <w:t>，用于尾矿库安全生产</w:t>
      </w:r>
      <w:r>
        <w:rPr>
          <w:rFonts w:hint="default" w:ascii="Times New Roman" w:hAnsi="Times New Roman" w:cs="Times New Roman"/>
          <w:color w:val="auto"/>
          <w:lang w:val="en-US" w:eastAsia="zh-CN"/>
        </w:rPr>
        <w:t>，具体使用详见附件。</w:t>
      </w:r>
    </w:p>
    <w:p w14:paraId="338C441C">
      <w:pPr>
        <w:pStyle w:val="5"/>
        <w:bidi w:val="0"/>
        <w:rPr>
          <w:rFonts w:hint="default"/>
          <w:color w:val="auto"/>
          <w:lang w:val="en-US" w:eastAsia="zh-CN"/>
        </w:rPr>
      </w:pPr>
      <w:bookmarkStart w:id="56" w:name="_Toc23724"/>
      <w:r>
        <w:rPr>
          <w:rFonts w:hint="default"/>
          <w:color w:val="auto"/>
          <w:lang w:val="en-US" w:eastAsia="zh-CN"/>
        </w:rPr>
        <w:t>2.</w:t>
      </w:r>
      <w:r>
        <w:rPr>
          <w:rFonts w:hint="eastAsia"/>
          <w:color w:val="auto"/>
          <w:lang w:val="en-US" w:eastAsia="zh-CN"/>
        </w:rPr>
        <w:t>6</w:t>
      </w:r>
      <w:r>
        <w:rPr>
          <w:rFonts w:hint="default"/>
          <w:color w:val="auto"/>
          <w:lang w:val="en-US" w:eastAsia="zh-CN"/>
        </w:rPr>
        <w:t>.8 工伤保险和安全生产责任保险</w:t>
      </w:r>
      <w:bookmarkEnd w:id="56"/>
    </w:p>
    <w:p w14:paraId="539FB9C6">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江西临川鲁金矿业有限公司为从业人员办理了安全生产责任保险和工伤保险</w:t>
      </w:r>
      <w:r>
        <w:rPr>
          <w:rFonts w:hint="eastAsia" w:ascii="Times New Roman" w:hAnsi="Times New Roman" w:cs="Times New Roman"/>
          <w:color w:val="auto"/>
          <w:lang w:val="en-US" w:eastAsia="zh-CN"/>
        </w:rPr>
        <w:t>，由于</w:t>
      </w:r>
      <w:r>
        <w:rPr>
          <w:rFonts w:hint="default" w:ascii="Times New Roman" w:hAnsi="Times New Roman" w:cs="Times New Roman"/>
          <w:color w:val="auto"/>
          <w:lang w:val="en-US" w:eastAsia="zh-CN"/>
        </w:rPr>
        <w:t>安全管理人员叶初荣、</w:t>
      </w:r>
      <w:r>
        <w:rPr>
          <w:rFonts w:hint="eastAsia" w:ascii="Times New Roman" w:hAnsi="Times New Roman" w:cs="Times New Roman"/>
          <w:color w:val="auto"/>
          <w:lang w:val="en-US" w:eastAsia="zh-CN"/>
        </w:rPr>
        <w:t>黄仕涛，</w:t>
      </w:r>
      <w:r>
        <w:rPr>
          <w:rFonts w:hint="default" w:ascii="Times New Roman" w:hAnsi="Times New Roman" w:cs="Times New Roman"/>
          <w:color w:val="auto"/>
          <w:lang w:val="en-US" w:eastAsia="zh-CN"/>
        </w:rPr>
        <w:t>选矿工程师李强、尾矿工何卫华目前正在办理入职手续</w:t>
      </w:r>
      <w:r>
        <w:rPr>
          <w:rFonts w:hint="eastAsia" w:ascii="Times New Roman" w:hAnsi="Times New Roman" w:cs="Times New Roman"/>
          <w:color w:val="auto"/>
          <w:lang w:val="en-US" w:eastAsia="zh-CN"/>
        </w:rPr>
        <w:t>，故暂未缴纳工伤保险</w:t>
      </w:r>
      <w:r>
        <w:rPr>
          <w:rFonts w:hint="default" w:ascii="Times New Roman" w:hAnsi="Times New Roman" w:cs="Times New Roman"/>
          <w:color w:val="auto"/>
          <w:lang w:val="en-US" w:eastAsia="zh-CN"/>
        </w:rPr>
        <w:t>。</w:t>
      </w:r>
    </w:p>
    <w:p w14:paraId="1C8C78E5">
      <w:pPr>
        <w:pStyle w:val="5"/>
        <w:bidi w:val="0"/>
        <w:rPr>
          <w:rFonts w:hint="default"/>
          <w:lang w:val="en-US" w:eastAsia="zh-CN"/>
        </w:rPr>
      </w:pPr>
      <w:bookmarkStart w:id="57" w:name="_Toc9930"/>
      <w:r>
        <w:rPr>
          <w:rFonts w:hint="default"/>
          <w:lang w:val="en-US" w:eastAsia="zh-CN"/>
        </w:rPr>
        <w:t>2.</w:t>
      </w:r>
      <w:r>
        <w:rPr>
          <w:rFonts w:hint="eastAsia"/>
          <w:lang w:val="en-US" w:eastAsia="zh-CN"/>
        </w:rPr>
        <w:t>6</w:t>
      </w:r>
      <w:r>
        <w:rPr>
          <w:rFonts w:hint="default"/>
          <w:lang w:val="en-US" w:eastAsia="zh-CN"/>
        </w:rPr>
        <w:t>.9班组建设</w:t>
      </w:r>
      <w:bookmarkEnd w:id="57"/>
    </w:p>
    <w:p w14:paraId="1FB0023B">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矿山开展了班组安全建设工作，确定了一个综合班组为班组建设试点，开展了班组危险辨识与风险评价，建立健全了各项管理制度。班组安全活动正常开展，建立并完善了班组安全台账和记录。</w:t>
      </w:r>
    </w:p>
    <w:p w14:paraId="7CD6EE98">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按照省应急管理厅要求，企业开展了“我对岗位安全知多少”活动，通过开展“我对岗位安全知多少”活动，强化了岗位安全教育培训，使作业员工了解岗位存在的风险、知道出现紧急事件该怎么做。</w:t>
      </w:r>
    </w:p>
    <w:p w14:paraId="326FBC46">
      <w:pPr>
        <w:pStyle w:val="5"/>
        <w:bidi w:val="0"/>
        <w:rPr>
          <w:rFonts w:hint="default"/>
          <w:lang w:val="en-US" w:eastAsia="zh-CN"/>
        </w:rPr>
      </w:pPr>
      <w:bookmarkStart w:id="58" w:name="_Toc29254"/>
      <w:r>
        <w:rPr>
          <w:rFonts w:hint="default"/>
          <w:lang w:val="en-US" w:eastAsia="zh-CN"/>
        </w:rPr>
        <w:t>2.</w:t>
      </w:r>
      <w:r>
        <w:rPr>
          <w:rFonts w:hint="eastAsia"/>
          <w:lang w:val="en-US" w:eastAsia="zh-CN"/>
        </w:rPr>
        <w:t>6</w:t>
      </w:r>
      <w:r>
        <w:rPr>
          <w:rFonts w:hint="default"/>
          <w:lang w:val="en-US" w:eastAsia="zh-CN"/>
        </w:rPr>
        <w:t>.10 安全风险分级管控和隐患排查治理双重预防机制</w:t>
      </w:r>
      <w:bookmarkEnd w:id="58"/>
    </w:p>
    <w:p w14:paraId="5C1AA970">
      <w:pP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w:t>
      </w:r>
      <w:r>
        <w:rPr>
          <w:rFonts w:hint="default" w:ascii="Times New Roman" w:hAnsi="Times New Roman" w:cs="Times New Roman"/>
          <w:color w:val="auto"/>
          <w:lang w:val="en-US" w:eastAsia="zh-CN"/>
        </w:rPr>
        <w:t>隐患排查治理体系</w:t>
      </w:r>
    </w:p>
    <w:p w14:paraId="62641021">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建立了较完善、规范的隐患排查治理制度，按期进行隐患排查，制定并实施严格的隐患治理方案，做到责任、措施、资金、时限和预案“五落实”，实现隐患排查治理的闭环管理，并按照“两个15天”的要求登录隐患排查治理信息系统，定期向应急管理部门报送安全隐患排查治理情况。隐患排查工作已列入尾矿库安全生产标准化自评内容，进行常规化考评，有隐患排查台帐，隐患排查明责追责问责的记录较规范完整。</w:t>
      </w:r>
    </w:p>
    <w:p w14:paraId="5617C0A9">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风险分级管控体系</w:t>
      </w:r>
    </w:p>
    <w:p w14:paraId="7B841FE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结合隐患排查体系的运行，建立了风险分级管控机制。对照《江西省安全风险分级管控体系建设通用指南》，企业对尾矿库主要设备、设施、岗位安全风险进行了辨识、评价梳理，根据矿山风险特点，全面评定风险等级，将安全风险等级从高到低划分为重大风险、较大风险、一般风险和低风险，分别用红、橙、黄、蓝四种颜色标示，在尾矿库醒目地段绘制了“红橙黄蓝”四色安全风险控制分布图；建立了安全风险管控责任清单、管控措施清单和应急处置措施清单，逐步建立和完善了安全风险分级管控“一牌、一图、三清单”。</w:t>
      </w:r>
    </w:p>
    <w:p w14:paraId="4C6E9892">
      <w:pPr>
        <w:pStyle w:val="5"/>
        <w:bidi w:val="0"/>
        <w:rPr>
          <w:rFonts w:hint="default"/>
          <w:lang w:val="en-US" w:eastAsia="zh-CN"/>
        </w:rPr>
      </w:pPr>
      <w:bookmarkStart w:id="59" w:name="_Toc1148"/>
      <w:r>
        <w:rPr>
          <w:rFonts w:hint="default"/>
          <w:lang w:val="en-US" w:eastAsia="zh-CN"/>
        </w:rPr>
        <w:t>2.</w:t>
      </w:r>
      <w:r>
        <w:rPr>
          <w:rFonts w:hint="eastAsia"/>
          <w:lang w:val="en-US" w:eastAsia="zh-CN"/>
        </w:rPr>
        <w:t>6</w:t>
      </w:r>
      <w:r>
        <w:rPr>
          <w:rFonts w:hint="default"/>
          <w:lang w:val="en-US" w:eastAsia="zh-CN"/>
        </w:rPr>
        <w:t>.11职业卫生</w:t>
      </w:r>
      <w:bookmarkEnd w:id="59"/>
    </w:p>
    <w:p w14:paraId="503342B1">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茅排金矿建立了职业健康管理体系：建立员工职业健康档案，定期开展职业健康体检。每年定期进行了职业病危害因素检测和从业人员体检工作；在主要生产作业场所张贴了职业危害告知卡。</w:t>
      </w:r>
    </w:p>
    <w:p w14:paraId="448DAE1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江西临川鲁金矿业有限公司茅排金矿为从业人员配发了工作服、防尘口罩、安全帽、耳塞、套鞋、照明灯、手套 (含防震手套、绝缘手套、防腐蚀手套)、防护目镜、绝缘胶鞋、雨衣等劳动防护用品，并督促员工正确佩戴。</w:t>
      </w:r>
    </w:p>
    <w:p w14:paraId="6BE09DEF">
      <w:pPr>
        <w:pStyle w:val="5"/>
        <w:bidi w:val="0"/>
        <w:rPr>
          <w:rFonts w:hint="default"/>
          <w:lang w:val="en-US" w:eastAsia="zh-CN"/>
        </w:rPr>
      </w:pPr>
      <w:bookmarkStart w:id="60" w:name="_Toc22856"/>
      <w:r>
        <w:rPr>
          <w:rFonts w:hint="default"/>
          <w:lang w:val="en-US" w:eastAsia="zh-CN"/>
        </w:rPr>
        <w:t>2.</w:t>
      </w:r>
      <w:r>
        <w:rPr>
          <w:rFonts w:hint="eastAsia"/>
          <w:lang w:val="en-US" w:eastAsia="zh-CN"/>
        </w:rPr>
        <w:t>6</w:t>
      </w:r>
      <w:r>
        <w:rPr>
          <w:rFonts w:hint="default"/>
          <w:lang w:val="en-US" w:eastAsia="zh-CN"/>
        </w:rPr>
        <w:t>.12 生产安全事故情况</w:t>
      </w:r>
      <w:bookmarkEnd w:id="60"/>
    </w:p>
    <w:p w14:paraId="01B11C10">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江西临川鲁金矿业有限公司茅排金矿庄前尾矿库在2020年5月-2023年4月期间，3年内未发生一起生产安全事故。</w:t>
      </w:r>
    </w:p>
    <w:p w14:paraId="1C063FE6">
      <w:pPr>
        <w:pStyle w:val="2"/>
        <w:rPr>
          <w:rFonts w:hint="default"/>
          <w:lang w:val="en-US" w:eastAsia="zh-CN"/>
        </w:rPr>
      </w:pPr>
      <w:r>
        <w:rPr>
          <w:rFonts w:hint="eastAsia" w:ascii="Times New Roman" w:hAnsi="Times New Roman" w:cs="Times New Roman"/>
          <w:color w:val="auto"/>
          <w:lang w:val="en-US" w:eastAsia="zh-CN"/>
        </w:rPr>
        <w:t>截至目前，江西临川鲁金矿业有限公司茅排金矿庄前尾矿库未发生安全事故。</w:t>
      </w:r>
    </w:p>
    <w:p w14:paraId="582CA9D1">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14:paraId="7CBE6470">
      <w:pPr>
        <w:pStyle w:val="3"/>
        <w:bidi w:val="0"/>
        <w:rPr>
          <w:rFonts w:hint="default" w:ascii="Times New Roman" w:hAnsi="Times New Roman" w:cs="Times New Roman"/>
          <w:color w:val="auto"/>
          <w:lang w:val="en-US" w:eastAsia="zh-CN"/>
        </w:rPr>
      </w:pPr>
      <w:bookmarkStart w:id="61" w:name="_Toc15437"/>
      <w:r>
        <w:rPr>
          <w:rFonts w:hint="default" w:ascii="Times New Roman" w:hAnsi="Times New Roman" w:cs="Times New Roman"/>
          <w:color w:val="auto"/>
          <w:lang w:val="en-US" w:eastAsia="zh-CN"/>
        </w:rPr>
        <w:t>3主要危险、有害因素辨识与分析</w:t>
      </w:r>
      <w:bookmarkEnd w:id="61"/>
    </w:p>
    <w:p w14:paraId="0AE76269">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尾矿库是矿山的一项重要生产设施</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它的运行状况好坏</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直接关系到矿山的安全生产和人民生命财产的安全。据统计</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在世界上的各种重大灾害中</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尾矿库灾害居于第18位。它一旦发生事故</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必将对下游地区居民的生命和财产造成巨大灾害</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并对环境造成严重污染。</w:t>
      </w:r>
    </w:p>
    <w:p w14:paraId="312F4ADC">
      <w:pPr>
        <w:pStyle w:val="4"/>
        <w:bidi w:val="0"/>
        <w:rPr>
          <w:rFonts w:hint="default" w:ascii="Times New Roman" w:hAnsi="Times New Roman" w:cs="Times New Roman"/>
          <w:color w:val="auto"/>
        </w:rPr>
      </w:pPr>
      <w:bookmarkStart w:id="62" w:name="_Toc9205"/>
      <w:bookmarkStart w:id="63" w:name="_Toc168041930"/>
      <w:bookmarkStart w:id="64" w:name="_Toc289088969"/>
      <w:bookmarkStart w:id="65" w:name="_Toc289872664"/>
      <w:r>
        <w:rPr>
          <w:rFonts w:hint="default" w:ascii="Times New Roman" w:hAnsi="Times New Roman" w:cs="Times New Roman"/>
          <w:color w:val="auto"/>
        </w:rPr>
        <w:t>3.1尾矿库病害的产生原因</w:t>
      </w:r>
      <w:bookmarkEnd w:id="62"/>
      <w:bookmarkEnd w:id="63"/>
      <w:bookmarkEnd w:id="64"/>
      <w:bookmarkEnd w:id="65"/>
    </w:p>
    <w:p w14:paraId="480161BE">
      <w:pPr>
        <w:snapToGrid w:val="0"/>
        <w:spacing w:line="600" w:lineRule="exact"/>
        <w:ind w:firstLine="560" w:firstLineChars="20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尾矿库从勘察、设计、施工到使用的全过程中</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任何一个环节有毛病</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都可能导致尾矿库不能正常使用。其中</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由于生产管理不善、操作不当或外界环境因素干扰所造成的病害比较容易检查发现；而勘察、设计、施工或其它原因造成隐患</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在使用初期不易显现出来</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这些常被人忽视的隐患往往属于很难补救和治理的病害。</w:t>
      </w:r>
    </w:p>
    <w:p w14:paraId="0438D686">
      <w:pPr>
        <w:pStyle w:val="5"/>
        <w:bidi w:val="0"/>
        <w:rPr>
          <w:rFonts w:hint="default"/>
        </w:rPr>
      </w:pPr>
      <w:bookmarkStart w:id="66" w:name="_Toc289872665"/>
      <w:bookmarkStart w:id="67" w:name="_Toc23560"/>
      <w:bookmarkStart w:id="68" w:name="_Toc289088970"/>
      <w:r>
        <w:rPr>
          <w:rFonts w:hint="default"/>
        </w:rPr>
        <w:t>3.1.1勘察因素造成的病害</w:t>
      </w:r>
      <w:bookmarkEnd w:id="66"/>
      <w:bookmarkEnd w:id="67"/>
      <w:bookmarkEnd w:id="68"/>
    </w:p>
    <w:p w14:paraId="5A0483E5">
      <w:pPr>
        <w:snapToGrid w:val="0"/>
        <w:spacing w:line="600" w:lineRule="exact"/>
        <w:ind w:firstLine="560" w:firstLineChars="20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对库区、坝基、排洪管线等处的不良地质条件未能查明</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就可能造成库内滑坡、坝体变形、坝基渗漏、排洪涵管断裂、排水井倒塌等病害。</w:t>
      </w:r>
    </w:p>
    <w:p w14:paraId="0F2C587C">
      <w:pPr>
        <w:pStyle w:val="5"/>
        <w:bidi w:val="0"/>
        <w:rPr>
          <w:rFonts w:hint="default" w:ascii="Times New Roman" w:hAnsi="Times New Roman" w:cs="Times New Roman"/>
          <w:color w:val="auto"/>
        </w:rPr>
      </w:pPr>
      <w:bookmarkStart w:id="69" w:name="_Toc289088971"/>
      <w:bookmarkStart w:id="70" w:name="_Toc17177"/>
      <w:bookmarkStart w:id="71" w:name="_Toc289872666"/>
      <w:r>
        <w:rPr>
          <w:rFonts w:hint="default" w:ascii="Times New Roman" w:hAnsi="Times New Roman" w:cs="Times New Roman"/>
          <w:color w:val="auto"/>
        </w:rPr>
        <w:t>3.1.2设计因素造成的病害</w:t>
      </w:r>
      <w:bookmarkEnd w:id="69"/>
      <w:bookmarkEnd w:id="70"/>
      <w:bookmarkEnd w:id="71"/>
    </w:p>
    <w:p w14:paraId="1F5CFE5E">
      <w:pPr>
        <w:snapToGrid w:val="0"/>
        <w:spacing w:line="600" w:lineRule="exact"/>
        <w:ind w:firstLine="560" w:firstLineChars="20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设计质量低劣表现在基础资料不确切、设计方案及技术论证方法不当、不遵循设计规范、对库水位及浸润线深度的控制要求不明确</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或要求不切实际等方面。尽管目前设计单位资质齐全</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但上述因素造成尾矿库带病运行的现象屡见不鲜。由此造成的隐患大多为坝体在中、后期稳定性和防洪能力不能满足设计规范的要求。其次</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排水构筑物出现断裂、气蚀、倒塌等病害也可能是由于设计人员技术不高或经验不足所造成。</w:t>
      </w:r>
    </w:p>
    <w:p w14:paraId="0E5C0757">
      <w:pPr>
        <w:pStyle w:val="5"/>
        <w:bidi w:val="0"/>
        <w:rPr>
          <w:rFonts w:hint="default" w:ascii="Times New Roman" w:hAnsi="Times New Roman" w:cs="Times New Roman"/>
          <w:color w:val="auto"/>
        </w:rPr>
      </w:pPr>
      <w:bookmarkStart w:id="72" w:name="_Toc289088972"/>
      <w:bookmarkStart w:id="73" w:name="_Toc2744"/>
      <w:bookmarkStart w:id="74" w:name="_Toc289872667"/>
      <w:r>
        <w:rPr>
          <w:rFonts w:hint="default" w:ascii="Times New Roman" w:hAnsi="Times New Roman" w:cs="Times New Roman"/>
          <w:color w:val="auto"/>
        </w:rPr>
        <w:t>3.1.3施工因素造成的病害</w:t>
      </w:r>
      <w:bookmarkEnd w:id="72"/>
      <w:bookmarkEnd w:id="73"/>
      <w:bookmarkEnd w:id="74"/>
    </w:p>
    <w:p w14:paraId="0BF7E5FD">
      <w:pPr>
        <w:snapToGrid w:val="0"/>
        <w:spacing w:line="600" w:lineRule="exact"/>
        <w:ind w:firstLine="560" w:firstLineChars="20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坝体施工中清基不彻底、坝体密实度不均、坝料不符合要求、反滤层铺设不当等</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会造成坝体沉降不均、坝基或坝体漏矿、后期坝局部塌陷；排洪构筑物有蜂窝、麻面或强度不达标</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当负荷逐渐增大时</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会造成掉块、漏筋、断裂、甚至倒塌等病害。</w:t>
      </w:r>
    </w:p>
    <w:p w14:paraId="4A4B9AF6">
      <w:pPr>
        <w:pStyle w:val="5"/>
        <w:bidi w:val="0"/>
        <w:rPr>
          <w:rFonts w:hint="default" w:ascii="Times New Roman" w:hAnsi="Times New Roman" w:cs="Times New Roman"/>
          <w:color w:val="auto"/>
        </w:rPr>
      </w:pPr>
      <w:bookmarkStart w:id="75" w:name="_Toc289088973"/>
      <w:bookmarkStart w:id="76" w:name="_Toc289872668"/>
      <w:bookmarkStart w:id="77" w:name="_Toc32093"/>
      <w:r>
        <w:rPr>
          <w:rFonts w:hint="default" w:ascii="Times New Roman" w:hAnsi="Times New Roman" w:cs="Times New Roman"/>
          <w:color w:val="auto"/>
        </w:rPr>
        <w:t>3.1.4操作管理不当造成的病害</w:t>
      </w:r>
      <w:bookmarkEnd w:id="75"/>
      <w:bookmarkEnd w:id="76"/>
      <w:bookmarkEnd w:id="77"/>
    </w:p>
    <w:p w14:paraId="264230DB">
      <w:pPr>
        <w:snapToGrid w:val="0"/>
        <w:spacing w:line="600" w:lineRule="exact"/>
        <w:ind w:firstLine="560" w:firstLineChars="20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由于管理不当造成的问题主要表现在未能有效地对勘察、设计、施工和操作进行必要的审查和监督；对设计意图不甚了解</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片面追求经济效益</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未按设计要求指导生产；对防洪、防震问题抱有侥幸心理；明知有隐患</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不能及时采取措施消除；未经原设计同意</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擅自修改设计等。</w:t>
      </w:r>
    </w:p>
    <w:p w14:paraId="09A74C14">
      <w:pPr>
        <w:pStyle w:val="5"/>
        <w:bidi w:val="0"/>
        <w:rPr>
          <w:rFonts w:hint="default" w:ascii="Times New Roman" w:hAnsi="Times New Roman" w:cs="Times New Roman"/>
          <w:color w:val="auto"/>
        </w:rPr>
      </w:pPr>
      <w:bookmarkStart w:id="78" w:name="_Toc18710"/>
      <w:bookmarkStart w:id="79" w:name="_Toc289872669"/>
      <w:bookmarkStart w:id="80" w:name="_Toc289088974"/>
      <w:r>
        <w:rPr>
          <w:rFonts w:hint="default" w:ascii="Times New Roman" w:hAnsi="Times New Roman" w:cs="Times New Roman"/>
          <w:color w:val="auto"/>
        </w:rPr>
        <w:t>3.1.5其他因素造成的病害</w:t>
      </w:r>
      <w:bookmarkEnd w:id="78"/>
      <w:bookmarkEnd w:id="79"/>
      <w:bookmarkEnd w:id="80"/>
    </w:p>
    <w:p w14:paraId="11D6B751">
      <w:pPr>
        <w:bidi w:val="0"/>
        <w:rPr>
          <w:rFonts w:hint="default" w:ascii="Times New Roman" w:hAnsi="Times New Roman" w:cs="Times New Roman"/>
          <w:color w:val="auto"/>
        </w:rPr>
      </w:pPr>
      <w:r>
        <w:rPr>
          <w:rFonts w:hint="default" w:ascii="Times New Roman" w:hAnsi="Times New Roman" w:cs="Times New Roman"/>
          <w:color w:val="auto"/>
        </w:rPr>
        <w:t>暴雨、地震之后可能对坝体、排洪构筑物造成病害：</w:t>
      </w:r>
    </w:p>
    <w:p w14:paraId="40E5A8DC">
      <w:pPr>
        <w:bidi w:val="0"/>
        <w:rPr>
          <w:rFonts w:hint="default" w:ascii="Times New Roman" w:hAnsi="Times New Roman" w:cs="Times New Roman"/>
          <w:color w:val="auto"/>
        </w:rPr>
      </w:pPr>
      <w:r>
        <w:rPr>
          <w:rFonts w:hint="default" w:ascii="Times New Roman" w:hAnsi="Times New Roman" w:cs="Times New Roman"/>
          <w:color w:val="auto"/>
        </w:rPr>
        <w:t>1、由于矿石性质或选矿工艺流程变更</w:t>
      </w:r>
      <w:r>
        <w:rPr>
          <w:rFonts w:hint="eastAsia" w:ascii="Times New Roman" w:hAnsi="Times New Roman" w:cs="Times New Roman"/>
          <w:color w:val="auto"/>
          <w:lang w:eastAsia="zh-CN"/>
        </w:rPr>
        <w:t>，</w:t>
      </w:r>
      <w:r>
        <w:rPr>
          <w:rFonts w:hint="default" w:ascii="Times New Roman" w:hAnsi="Times New Roman" w:cs="Times New Roman"/>
          <w:color w:val="auto"/>
        </w:rPr>
        <w:t>引起尾矿性质（粒度组成、粒径、比重、矿浆浓度等）的改变</w:t>
      </w:r>
      <w:r>
        <w:rPr>
          <w:rFonts w:hint="eastAsia" w:ascii="Times New Roman" w:hAnsi="Times New Roman" w:cs="Times New Roman"/>
          <w:color w:val="auto"/>
          <w:lang w:eastAsia="zh-CN"/>
        </w:rPr>
        <w:t>，</w:t>
      </w:r>
      <w:r>
        <w:rPr>
          <w:rFonts w:hint="default" w:ascii="Times New Roman" w:hAnsi="Times New Roman" w:cs="Times New Roman"/>
          <w:color w:val="auto"/>
        </w:rPr>
        <w:t>而这种改变如果对坝体稳定和防洪不利时</w:t>
      </w:r>
      <w:r>
        <w:rPr>
          <w:rFonts w:hint="eastAsia" w:ascii="Times New Roman" w:hAnsi="Times New Roman" w:cs="Times New Roman"/>
          <w:color w:val="auto"/>
          <w:lang w:eastAsia="zh-CN"/>
        </w:rPr>
        <w:t>，</w:t>
      </w:r>
      <w:r>
        <w:rPr>
          <w:rFonts w:hint="default" w:ascii="Times New Roman" w:hAnsi="Times New Roman" w:cs="Times New Roman"/>
          <w:color w:val="auto"/>
        </w:rPr>
        <w:t>自然会成为隐患；</w:t>
      </w:r>
    </w:p>
    <w:p w14:paraId="1BAA696F">
      <w:pPr>
        <w:bidi w:val="0"/>
        <w:rPr>
          <w:rFonts w:hint="default" w:ascii="Times New Roman" w:hAnsi="Times New Roman" w:cs="Times New Roman"/>
          <w:color w:val="auto"/>
        </w:rPr>
      </w:pPr>
      <w:r>
        <w:rPr>
          <w:rFonts w:hint="default" w:ascii="Times New Roman" w:hAnsi="Times New Roman" w:cs="Times New Roman"/>
          <w:color w:val="auto"/>
        </w:rPr>
        <w:t>2、因工农关系未协调好</w:t>
      </w:r>
      <w:r>
        <w:rPr>
          <w:rFonts w:hint="eastAsia" w:ascii="Times New Roman" w:hAnsi="Times New Roman" w:cs="Times New Roman"/>
          <w:color w:val="auto"/>
          <w:lang w:eastAsia="zh-CN"/>
        </w:rPr>
        <w:t>，</w:t>
      </w:r>
      <w:r>
        <w:rPr>
          <w:rFonts w:hint="default" w:ascii="Times New Roman" w:hAnsi="Times New Roman" w:cs="Times New Roman"/>
          <w:color w:val="auto"/>
        </w:rPr>
        <w:t>而产生的干扰常常造成尾矿库隐患。如农民在库区上游甚至于在库区以内乱采、滥挖等。</w:t>
      </w:r>
    </w:p>
    <w:p w14:paraId="2ADB6095">
      <w:pPr>
        <w:pStyle w:val="5"/>
        <w:bidi w:val="0"/>
        <w:rPr>
          <w:rFonts w:hint="default" w:ascii="Times New Roman" w:hAnsi="Times New Roman" w:cs="Times New Roman"/>
          <w:color w:val="auto"/>
        </w:rPr>
      </w:pPr>
      <w:bookmarkStart w:id="81" w:name="_Toc14943"/>
      <w:bookmarkStart w:id="82" w:name="_Toc289872670"/>
      <w:bookmarkStart w:id="83" w:name="_Toc289088975"/>
      <w:r>
        <w:rPr>
          <w:rFonts w:hint="default" w:ascii="Times New Roman" w:hAnsi="Times New Roman" w:cs="Times New Roman"/>
          <w:color w:val="auto"/>
        </w:rPr>
        <w:t>3.1.6尾矿库失事实例</w:t>
      </w:r>
      <w:bookmarkEnd w:id="81"/>
      <w:bookmarkEnd w:id="82"/>
      <w:bookmarkEnd w:id="83"/>
    </w:p>
    <w:p w14:paraId="3E3ECCF2">
      <w:pPr>
        <w:bidi w:val="0"/>
        <w:rPr>
          <w:rFonts w:hint="default" w:ascii="Times New Roman" w:hAnsi="Times New Roman" w:cs="Times New Roman"/>
          <w:color w:val="auto"/>
        </w:rPr>
      </w:pPr>
      <w:r>
        <w:rPr>
          <w:rFonts w:hint="default" w:ascii="Times New Roman" w:hAnsi="Times New Roman" w:cs="Times New Roman"/>
          <w:color w:val="auto"/>
        </w:rPr>
        <w:t>2020年3月28日13时30分左右</w:t>
      </w:r>
      <w:r>
        <w:rPr>
          <w:rFonts w:hint="eastAsia" w:ascii="Times New Roman" w:hAnsi="Times New Roman" w:cs="Times New Roman"/>
          <w:color w:val="auto"/>
          <w:lang w:eastAsia="zh-CN"/>
        </w:rPr>
        <w:t>，</w:t>
      </w:r>
      <w:r>
        <w:rPr>
          <w:rFonts w:hint="default" w:ascii="Times New Roman" w:hAnsi="Times New Roman" w:cs="Times New Roman"/>
          <w:color w:val="auto"/>
        </w:rPr>
        <w:t>黑龙江省伊春市伊春鹿鸣矿业有限公司（以下简称鹿鸣矿业）尾矿库发生泄漏</w:t>
      </w:r>
      <w:r>
        <w:rPr>
          <w:rFonts w:hint="eastAsia" w:ascii="Times New Roman" w:hAnsi="Times New Roman" w:cs="Times New Roman"/>
          <w:color w:val="auto"/>
          <w:lang w:eastAsia="zh-CN"/>
        </w:rPr>
        <w:t>，</w:t>
      </w:r>
      <w:r>
        <w:rPr>
          <w:rFonts w:hint="default" w:ascii="Times New Roman" w:hAnsi="Times New Roman" w:cs="Times New Roman"/>
          <w:color w:val="auto"/>
        </w:rPr>
        <w:t>造成铁力市第一水厂停止取水</w:t>
      </w:r>
      <w:r>
        <w:rPr>
          <w:rFonts w:hint="eastAsia" w:ascii="Times New Roman" w:hAnsi="Times New Roman" w:cs="Times New Roman"/>
          <w:color w:val="auto"/>
          <w:lang w:eastAsia="zh-CN"/>
        </w:rPr>
        <w:t>，</w:t>
      </w:r>
      <w:r>
        <w:rPr>
          <w:rFonts w:hint="default" w:ascii="Times New Roman" w:hAnsi="Times New Roman" w:cs="Times New Roman"/>
          <w:color w:val="auto"/>
        </w:rPr>
        <w:t>伊春市、绥化市境内部分河段、农田及林地污染。</w:t>
      </w:r>
    </w:p>
    <w:p w14:paraId="7DE36EF7">
      <w:pPr>
        <w:bidi w:val="0"/>
        <w:rPr>
          <w:rFonts w:hint="default" w:ascii="Times New Roman" w:hAnsi="Times New Roman" w:cs="Times New Roman"/>
          <w:color w:val="auto"/>
        </w:rPr>
      </w:pPr>
      <w:r>
        <w:rPr>
          <w:rFonts w:hint="default" w:ascii="Times New Roman" w:hAnsi="Times New Roman" w:cs="Times New Roman"/>
          <w:color w:val="auto"/>
        </w:rPr>
        <w:t>尾矿库采用上游法尾矿筑坝</w:t>
      </w:r>
      <w:r>
        <w:rPr>
          <w:rFonts w:hint="eastAsia" w:ascii="Times New Roman" w:hAnsi="Times New Roman" w:cs="Times New Roman"/>
          <w:color w:val="auto"/>
          <w:lang w:eastAsia="zh-CN"/>
        </w:rPr>
        <w:t>，</w:t>
      </w:r>
      <w:r>
        <w:rPr>
          <w:rFonts w:hint="default" w:ascii="Times New Roman" w:hAnsi="Times New Roman" w:cs="Times New Roman"/>
          <w:color w:val="auto"/>
        </w:rPr>
        <w:t>设计总坝高198</w:t>
      </w:r>
      <w:r>
        <w:rPr>
          <w:rFonts w:hint="eastAsia" w:ascii="Times New Roman" w:hAnsi="Times New Roman" w:cs="Times New Roman"/>
          <w:color w:val="auto"/>
          <w:lang w:eastAsia="zh-CN"/>
        </w:rPr>
        <w:t>m，</w:t>
      </w:r>
      <w:r>
        <w:rPr>
          <w:rFonts w:hint="default" w:ascii="Times New Roman" w:hAnsi="Times New Roman" w:cs="Times New Roman"/>
          <w:color w:val="auto"/>
        </w:rPr>
        <w:t>总库容42900万</w:t>
      </w:r>
      <w:r>
        <w:rPr>
          <w:rFonts w:hint="eastAsia" w:ascii="Times New Roman" w:hAnsi="Times New Roman" w:cs="Times New Roman"/>
          <w:color w:val="auto"/>
          <w:lang w:eastAsia="zh-CN"/>
        </w:rPr>
        <w:t>m</w:t>
      </w:r>
      <w:r>
        <w:rPr>
          <w:rFonts w:hint="eastAsia" w:ascii="Times New Roman" w:hAnsi="Times New Roman" w:cs="Times New Roman"/>
          <w:color w:val="auto"/>
          <w:vertAlign w:val="superscript"/>
          <w:lang w:val="en-US" w:eastAsia="zh-CN"/>
        </w:rPr>
        <w:t>3</w:t>
      </w:r>
      <w:r>
        <w:rPr>
          <w:rFonts w:hint="eastAsia" w:ascii="Times New Roman" w:hAnsi="Times New Roman" w:cs="Times New Roman"/>
          <w:color w:val="auto"/>
          <w:lang w:eastAsia="zh-CN"/>
        </w:rPr>
        <w:t>，</w:t>
      </w:r>
      <w:r>
        <w:rPr>
          <w:rFonts w:hint="default" w:ascii="Times New Roman" w:hAnsi="Times New Roman" w:cs="Times New Roman"/>
          <w:color w:val="auto"/>
        </w:rPr>
        <w:t>事发时总坝高71</w:t>
      </w:r>
      <w:r>
        <w:rPr>
          <w:rFonts w:hint="eastAsia" w:ascii="Times New Roman" w:hAnsi="Times New Roman" w:cs="Times New Roman"/>
          <w:color w:val="auto"/>
          <w:lang w:eastAsia="zh-CN"/>
        </w:rPr>
        <w:t>m，</w:t>
      </w:r>
      <w:r>
        <w:rPr>
          <w:rFonts w:hint="default" w:ascii="Times New Roman" w:hAnsi="Times New Roman" w:cs="Times New Roman"/>
          <w:color w:val="auto"/>
        </w:rPr>
        <w:t>堆存尾矿6400万</w:t>
      </w:r>
      <w:r>
        <w:rPr>
          <w:rFonts w:hint="eastAsia" w:ascii="Times New Roman" w:hAnsi="Times New Roman" w:cs="Times New Roman"/>
          <w:color w:val="auto"/>
          <w:lang w:val="en-US" w:eastAsia="zh-CN"/>
        </w:rPr>
        <w:t>m</w:t>
      </w:r>
      <w:r>
        <w:rPr>
          <w:rFonts w:hint="eastAsia" w:ascii="Times New Roman" w:hAnsi="Times New Roman" w:cs="Times New Roman"/>
          <w:color w:val="auto"/>
          <w:vertAlign w:val="superscript"/>
          <w:lang w:val="en-US" w:eastAsia="zh-CN"/>
        </w:rPr>
        <w:t>3</w:t>
      </w:r>
      <w:r>
        <w:rPr>
          <w:rFonts w:hint="default" w:ascii="Times New Roman" w:hAnsi="Times New Roman" w:cs="Times New Roman"/>
          <w:color w:val="auto"/>
        </w:rPr>
        <w:t>。排洪系统为排水井（钢筋混凝土框架式井架+拱板+竖井）—隧洞（支隧洞+主隧洞）型式</w:t>
      </w:r>
      <w:r>
        <w:rPr>
          <w:rFonts w:hint="eastAsia" w:ascii="Times New Roman" w:hAnsi="Times New Roman" w:cs="Times New Roman"/>
          <w:color w:val="auto"/>
          <w:lang w:eastAsia="zh-CN"/>
        </w:rPr>
        <w:t>，</w:t>
      </w:r>
      <w:r>
        <w:rPr>
          <w:rFonts w:hint="default" w:ascii="Times New Roman" w:hAnsi="Times New Roman" w:cs="Times New Roman"/>
          <w:color w:val="auto"/>
        </w:rPr>
        <w:t>事发时共有10座排水井（1-10#）</w:t>
      </w:r>
      <w:r>
        <w:rPr>
          <w:rFonts w:hint="eastAsia" w:ascii="Times New Roman" w:hAnsi="Times New Roman" w:cs="Times New Roman"/>
          <w:color w:val="auto"/>
          <w:lang w:eastAsia="zh-CN"/>
        </w:rPr>
        <w:t>，</w:t>
      </w:r>
      <w:r>
        <w:rPr>
          <w:rFonts w:hint="default" w:ascii="Times New Roman" w:hAnsi="Times New Roman" w:cs="Times New Roman"/>
          <w:color w:val="auto"/>
        </w:rPr>
        <w:t>其中1#和2#排水井已封井</w:t>
      </w:r>
      <w:r>
        <w:rPr>
          <w:rFonts w:hint="eastAsia" w:ascii="Times New Roman" w:hAnsi="Times New Roman" w:cs="Times New Roman"/>
          <w:color w:val="auto"/>
          <w:lang w:eastAsia="zh-CN"/>
        </w:rPr>
        <w:t>，</w:t>
      </w:r>
      <w:r>
        <w:rPr>
          <w:rFonts w:hint="default" w:ascii="Times New Roman" w:hAnsi="Times New Roman" w:cs="Times New Roman"/>
          <w:color w:val="auto"/>
        </w:rPr>
        <w:t>3#和4#排水井在用。在用排水井安装了视频监控系统</w:t>
      </w:r>
      <w:r>
        <w:rPr>
          <w:rFonts w:hint="eastAsia" w:ascii="Times New Roman" w:hAnsi="Times New Roman" w:cs="Times New Roman"/>
          <w:color w:val="auto"/>
          <w:lang w:eastAsia="zh-CN"/>
        </w:rPr>
        <w:t>，</w:t>
      </w:r>
      <w:r>
        <w:rPr>
          <w:rFonts w:hint="default" w:ascii="Times New Roman" w:hAnsi="Times New Roman" w:cs="Times New Roman"/>
          <w:color w:val="auto"/>
        </w:rPr>
        <w:t>事发时3#排水井视频监控系统正常</w:t>
      </w:r>
      <w:r>
        <w:rPr>
          <w:rFonts w:hint="eastAsia" w:ascii="Times New Roman" w:hAnsi="Times New Roman" w:cs="Times New Roman"/>
          <w:color w:val="auto"/>
          <w:lang w:eastAsia="zh-CN"/>
        </w:rPr>
        <w:t>，</w:t>
      </w:r>
      <w:r>
        <w:rPr>
          <w:rFonts w:hint="default" w:ascii="Times New Roman" w:hAnsi="Times New Roman" w:cs="Times New Roman"/>
          <w:color w:val="auto"/>
        </w:rPr>
        <w:t>4#排水井视频监控系统2020年3月7日损坏未修复。</w:t>
      </w:r>
    </w:p>
    <w:p w14:paraId="27D4A7F6">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经专家核算</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此次事件中尾矿库泄漏232-245万</w:t>
      </w:r>
      <w:r>
        <w:rPr>
          <w:rFonts w:hint="eastAsia" w:ascii="Times New Roman" w:hAnsi="Times New Roman" w:cs="Times New Roman"/>
          <w:color w:val="auto"/>
          <w:lang w:val="en-US" w:eastAsia="zh-CN"/>
        </w:rPr>
        <w:t>m</w:t>
      </w:r>
      <w:r>
        <w:rPr>
          <w:rFonts w:hint="eastAsia"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尾矿（砂水混合物）。泄漏钼总量89.39-117.53吨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其中砂相中87-115吨、水相中2.39-2.53吨。事件造成依吉密河至呼兰河约340</w:t>
      </w:r>
      <w:r>
        <w:rPr>
          <w:rFonts w:hint="eastAsia" w:ascii="Times New Roman" w:hAnsi="Times New Roman" w:cs="Times New Roman"/>
          <w:color w:val="auto"/>
          <w:lang w:val="en-US" w:eastAsia="zh-CN"/>
        </w:rPr>
        <w:t>km</w:t>
      </w:r>
      <w:r>
        <w:rPr>
          <w:rFonts w:hint="default" w:ascii="Times New Roman" w:hAnsi="Times New Roman" w:cs="Times New Roman"/>
          <w:color w:val="auto"/>
          <w:lang w:val="en-US" w:eastAsia="zh-CN"/>
        </w:rPr>
        <w:t>河道钼浓度超标</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其中依吉密河河道约115</w:t>
      </w:r>
      <w:r>
        <w:rPr>
          <w:rFonts w:hint="eastAsia" w:ascii="Times New Roman" w:hAnsi="Times New Roman" w:cs="Times New Roman"/>
          <w:color w:val="auto"/>
          <w:lang w:val="en-US" w:eastAsia="zh-CN"/>
        </w:rPr>
        <w:t>km</w:t>
      </w:r>
      <w:r>
        <w:rPr>
          <w:rFonts w:hint="default" w:ascii="Times New Roman" w:hAnsi="Times New Roman" w:cs="Times New Roman"/>
          <w:color w:val="auto"/>
          <w:lang w:val="en-US" w:eastAsia="zh-CN"/>
        </w:rPr>
        <w:t>、呼兰河河道约225</w:t>
      </w:r>
      <w:r>
        <w:rPr>
          <w:rFonts w:hint="eastAsia" w:ascii="Times New Roman" w:hAnsi="Times New Roman" w:cs="Times New Roman"/>
          <w:color w:val="auto"/>
          <w:lang w:val="en-US" w:eastAsia="zh-CN"/>
        </w:rPr>
        <w:t>km</w:t>
      </w:r>
      <w:r>
        <w:rPr>
          <w:rFonts w:hint="default" w:ascii="Times New Roman" w:hAnsi="Times New Roman" w:cs="Times New Roman"/>
          <w:color w:val="auto"/>
          <w:lang w:val="en-US" w:eastAsia="zh-CN"/>
        </w:rPr>
        <w:t>。依吉密河沿岸部分农田和林地受到一定程度污染</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其中伊春市受影响农田约4312亩、林地约6721亩</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绥化市受影响林地约2068亩。</w:t>
      </w:r>
    </w:p>
    <w:p w14:paraId="35A141CD">
      <w:pPr>
        <w:pStyle w:val="4"/>
        <w:bidi w:val="0"/>
        <w:rPr>
          <w:rFonts w:hint="default" w:ascii="Times New Roman" w:hAnsi="Times New Roman" w:cs="Times New Roman"/>
          <w:color w:val="auto"/>
        </w:rPr>
      </w:pPr>
      <w:bookmarkStart w:id="84" w:name="_Toc289872671"/>
      <w:bookmarkStart w:id="85" w:name="_Toc27351"/>
      <w:bookmarkStart w:id="86" w:name="_Toc289088976"/>
      <w:r>
        <w:rPr>
          <w:rFonts w:hint="default" w:ascii="Times New Roman" w:hAnsi="Times New Roman" w:cs="Times New Roman"/>
          <w:color w:val="auto"/>
        </w:rPr>
        <w:t>3.2尾矿库危险、有害因素分析</w:t>
      </w:r>
      <w:bookmarkEnd w:id="84"/>
      <w:bookmarkEnd w:id="85"/>
      <w:bookmarkEnd w:id="86"/>
    </w:p>
    <w:p w14:paraId="01D78002">
      <w:pPr>
        <w:pStyle w:val="5"/>
        <w:bidi w:val="0"/>
        <w:rPr>
          <w:rFonts w:hint="default" w:ascii="Times New Roman" w:hAnsi="Times New Roman" w:cs="Times New Roman"/>
          <w:color w:val="auto"/>
        </w:rPr>
      </w:pPr>
      <w:bookmarkStart w:id="87" w:name="_Toc289872672"/>
      <w:bookmarkStart w:id="88" w:name="_Toc289088977"/>
      <w:bookmarkStart w:id="89" w:name="_Toc1896"/>
      <w:r>
        <w:rPr>
          <w:rFonts w:hint="default" w:ascii="Times New Roman" w:hAnsi="Times New Roman" w:cs="Times New Roman"/>
          <w:color w:val="auto"/>
        </w:rPr>
        <w:t>3.2.1滑坡（坝坡失稳）</w:t>
      </w:r>
      <w:bookmarkEnd w:id="87"/>
      <w:bookmarkEnd w:id="88"/>
      <w:bookmarkEnd w:id="89"/>
    </w:p>
    <w:p w14:paraId="290D530D">
      <w:pPr>
        <w:spacing w:line="600" w:lineRule="exact"/>
        <w:ind w:firstLine="552" w:firstLineChars="200"/>
        <w:rPr>
          <w:rFonts w:hint="default" w:ascii="Times New Roman" w:hAnsi="Times New Roman" w:cs="Times New Roman"/>
          <w:color w:val="auto"/>
          <w:spacing w:val="-2"/>
          <w:sz w:val="28"/>
          <w:szCs w:val="28"/>
        </w:rPr>
      </w:pPr>
      <w:r>
        <w:rPr>
          <w:rFonts w:hint="default" w:ascii="Times New Roman" w:hAnsi="Times New Roman" w:cs="Times New Roman"/>
          <w:color w:val="auto"/>
          <w:spacing w:val="-2"/>
          <w:sz w:val="28"/>
          <w:szCs w:val="28"/>
        </w:rPr>
        <w:t>滑坡是尾矿坝最危险的因素之一</w:t>
      </w:r>
      <w:r>
        <w:rPr>
          <w:rFonts w:hint="eastAsia" w:ascii="Times New Roman" w:hAnsi="Times New Roman" w:cs="Times New Roman"/>
          <w:color w:val="auto"/>
          <w:spacing w:val="-2"/>
          <w:sz w:val="28"/>
          <w:szCs w:val="28"/>
          <w:lang w:eastAsia="zh-CN"/>
        </w:rPr>
        <w:t>，</w:t>
      </w:r>
      <w:r>
        <w:rPr>
          <w:rFonts w:hint="default" w:ascii="Times New Roman" w:hAnsi="Times New Roman" w:cs="Times New Roman"/>
          <w:color w:val="auto"/>
          <w:spacing w:val="-2"/>
          <w:sz w:val="28"/>
          <w:szCs w:val="28"/>
        </w:rPr>
        <w:t>较大规模的滑坡</w:t>
      </w:r>
      <w:r>
        <w:rPr>
          <w:rFonts w:hint="eastAsia" w:ascii="Times New Roman" w:hAnsi="Times New Roman" w:cs="Times New Roman"/>
          <w:color w:val="auto"/>
          <w:spacing w:val="-2"/>
          <w:sz w:val="28"/>
          <w:szCs w:val="28"/>
          <w:lang w:eastAsia="zh-CN"/>
        </w:rPr>
        <w:t>，</w:t>
      </w:r>
      <w:r>
        <w:rPr>
          <w:rFonts w:hint="default" w:ascii="Times New Roman" w:hAnsi="Times New Roman" w:cs="Times New Roman"/>
          <w:color w:val="auto"/>
          <w:spacing w:val="-2"/>
          <w:sz w:val="28"/>
          <w:szCs w:val="28"/>
        </w:rPr>
        <w:t>往往是垮坝事故的先兆</w:t>
      </w:r>
      <w:r>
        <w:rPr>
          <w:rFonts w:hint="eastAsia" w:ascii="Times New Roman" w:hAnsi="Times New Roman" w:cs="Times New Roman"/>
          <w:color w:val="auto"/>
          <w:spacing w:val="-2"/>
          <w:sz w:val="28"/>
          <w:szCs w:val="28"/>
          <w:lang w:eastAsia="zh-CN"/>
        </w:rPr>
        <w:t>，</w:t>
      </w:r>
      <w:r>
        <w:rPr>
          <w:rFonts w:hint="default" w:ascii="Times New Roman" w:hAnsi="Times New Roman" w:cs="Times New Roman"/>
          <w:color w:val="auto"/>
          <w:spacing w:val="-2"/>
          <w:sz w:val="28"/>
          <w:szCs w:val="28"/>
        </w:rPr>
        <w:t>即使是较小的滑坡也不能掉以轻心。有些滑坡是突然发生的</w:t>
      </w:r>
      <w:r>
        <w:rPr>
          <w:rFonts w:hint="eastAsia" w:ascii="Times New Roman" w:hAnsi="Times New Roman" w:cs="Times New Roman"/>
          <w:color w:val="auto"/>
          <w:spacing w:val="-2"/>
          <w:sz w:val="28"/>
          <w:szCs w:val="28"/>
          <w:lang w:eastAsia="zh-CN"/>
        </w:rPr>
        <w:t>，</w:t>
      </w:r>
      <w:r>
        <w:rPr>
          <w:rFonts w:hint="default" w:ascii="Times New Roman" w:hAnsi="Times New Roman" w:cs="Times New Roman"/>
          <w:color w:val="auto"/>
          <w:spacing w:val="-2"/>
          <w:sz w:val="28"/>
          <w:szCs w:val="28"/>
        </w:rPr>
        <w:t>有的先由裂缝开始</w:t>
      </w:r>
      <w:r>
        <w:rPr>
          <w:rFonts w:hint="eastAsia" w:ascii="Times New Roman" w:hAnsi="Times New Roman" w:cs="Times New Roman"/>
          <w:color w:val="auto"/>
          <w:spacing w:val="-2"/>
          <w:sz w:val="28"/>
          <w:szCs w:val="28"/>
          <w:lang w:eastAsia="zh-CN"/>
        </w:rPr>
        <w:t>，</w:t>
      </w:r>
      <w:r>
        <w:rPr>
          <w:rFonts w:hint="default" w:ascii="Times New Roman" w:hAnsi="Times New Roman" w:cs="Times New Roman"/>
          <w:color w:val="auto"/>
          <w:spacing w:val="-2"/>
          <w:sz w:val="28"/>
          <w:szCs w:val="28"/>
        </w:rPr>
        <w:t>如不及时处理</w:t>
      </w:r>
      <w:r>
        <w:rPr>
          <w:rFonts w:hint="eastAsia" w:ascii="Times New Roman" w:hAnsi="Times New Roman" w:cs="Times New Roman"/>
          <w:color w:val="auto"/>
          <w:spacing w:val="-2"/>
          <w:sz w:val="28"/>
          <w:szCs w:val="28"/>
          <w:lang w:eastAsia="zh-CN"/>
        </w:rPr>
        <w:t>，</w:t>
      </w:r>
      <w:r>
        <w:rPr>
          <w:rFonts w:hint="default" w:ascii="Times New Roman" w:hAnsi="Times New Roman" w:cs="Times New Roman"/>
          <w:color w:val="auto"/>
          <w:spacing w:val="-2"/>
          <w:sz w:val="28"/>
          <w:szCs w:val="28"/>
        </w:rPr>
        <w:t>逐步扩大和漫延</w:t>
      </w:r>
      <w:r>
        <w:rPr>
          <w:rFonts w:hint="eastAsia" w:ascii="Times New Roman" w:hAnsi="Times New Roman" w:cs="Times New Roman"/>
          <w:color w:val="auto"/>
          <w:spacing w:val="-2"/>
          <w:sz w:val="28"/>
          <w:szCs w:val="28"/>
          <w:lang w:eastAsia="zh-CN"/>
        </w:rPr>
        <w:t>，</w:t>
      </w:r>
      <w:r>
        <w:rPr>
          <w:rFonts w:hint="default" w:ascii="Times New Roman" w:hAnsi="Times New Roman" w:cs="Times New Roman"/>
          <w:color w:val="auto"/>
          <w:spacing w:val="-2"/>
          <w:sz w:val="28"/>
          <w:szCs w:val="28"/>
        </w:rPr>
        <w:t>则可能造成垮坝重大事故。</w:t>
      </w:r>
    </w:p>
    <w:p w14:paraId="75AA0B15">
      <w:pPr>
        <w:spacing w:line="600" w:lineRule="exact"/>
        <w:ind w:firstLine="544" w:firstLineChars="200"/>
        <w:rPr>
          <w:rFonts w:hint="default" w:ascii="Times New Roman" w:hAnsi="Times New Roman" w:cs="Times New Roman"/>
          <w:color w:val="auto"/>
          <w:spacing w:val="-4"/>
          <w:sz w:val="28"/>
          <w:szCs w:val="28"/>
        </w:rPr>
      </w:pPr>
      <w:r>
        <w:rPr>
          <w:rFonts w:hint="default" w:ascii="Times New Roman" w:hAnsi="Times New Roman" w:cs="Times New Roman"/>
          <w:color w:val="auto"/>
          <w:spacing w:val="-4"/>
          <w:sz w:val="28"/>
          <w:szCs w:val="28"/>
        </w:rPr>
        <w:t>滑坡的种类</w:t>
      </w:r>
      <w:r>
        <w:rPr>
          <w:rFonts w:hint="eastAsia" w:ascii="Times New Roman" w:hAnsi="Times New Roman" w:cs="Times New Roman"/>
          <w:color w:val="auto"/>
          <w:spacing w:val="-4"/>
          <w:sz w:val="28"/>
          <w:szCs w:val="28"/>
          <w:lang w:eastAsia="zh-CN"/>
        </w:rPr>
        <w:t>，</w:t>
      </w:r>
      <w:r>
        <w:rPr>
          <w:rFonts w:hint="default" w:ascii="Times New Roman" w:hAnsi="Times New Roman" w:cs="Times New Roman"/>
          <w:color w:val="auto"/>
          <w:spacing w:val="-4"/>
          <w:sz w:val="28"/>
          <w:szCs w:val="28"/>
        </w:rPr>
        <w:t>按滑坡的性质分剪切性滑坡</w:t>
      </w:r>
      <w:r>
        <w:rPr>
          <w:rFonts w:hint="eastAsia" w:ascii="Times New Roman" w:hAnsi="Times New Roman" w:cs="Times New Roman"/>
          <w:color w:val="auto"/>
          <w:spacing w:val="-4"/>
          <w:sz w:val="28"/>
          <w:szCs w:val="28"/>
          <w:lang w:eastAsia="zh-CN"/>
        </w:rPr>
        <w:t>，</w:t>
      </w:r>
      <w:r>
        <w:rPr>
          <w:rFonts w:hint="default" w:ascii="Times New Roman" w:hAnsi="Times New Roman" w:cs="Times New Roman"/>
          <w:color w:val="auto"/>
          <w:spacing w:val="-4"/>
          <w:sz w:val="28"/>
          <w:szCs w:val="28"/>
        </w:rPr>
        <w:t>塑流性滑坡和液化性滑坡。</w:t>
      </w:r>
    </w:p>
    <w:p w14:paraId="43110AEC">
      <w:pPr>
        <w:spacing w:line="60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滑坡的主要原因：</w:t>
      </w:r>
    </w:p>
    <w:p w14:paraId="38ABC6C4">
      <w:pPr>
        <w:spacing w:line="60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1、为片面追求库容</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尾矿坝边坡陡于设计边坡</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坝体抗滑安全系数不足；</w:t>
      </w:r>
    </w:p>
    <w:p w14:paraId="4B30B928">
      <w:pPr>
        <w:spacing w:line="60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2、在勘探时没有查明基础有淤泥层或其他高压缩性软土层</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设计时未能采取适当措施；</w:t>
      </w:r>
    </w:p>
    <w:p w14:paraId="1B5A2EB9">
      <w:pPr>
        <w:spacing w:line="60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3、选择坝址时</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没有避开位于坝脚附近的渊潭或水塘</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筑坝后由于坝脚处过大沉陷而引起滑坡；</w:t>
      </w:r>
    </w:p>
    <w:p w14:paraId="37339BB9">
      <w:pPr>
        <w:spacing w:line="60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4、坝面维护不善</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雨水冲刷拉沟</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严重时会造成局部坝段滑坡；</w:t>
      </w:r>
    </w:p>
    <w:p w14:paraId="7932E19F">
      <w:pPr>
        <w:spacing w:line="600" w:lineRule="exact"/>
        <w:ind w:firstLine="560" w:firstLineChars="200"/>
        <w:rPr>
          <w:rFonts w:hint="eastAsia" w:ascii="Times New Roman" w:hAnsi="Times New Roman" w:eastAsia="宋体" w:cs="Times New Roman"/>
          <w:color w:val="auto"/>
          <w:sz w:val="28"/>
          <w:szCs w:val="28"/>
          <w:lang w:eastAsia="zh-CN"/>
        </w:rPr>
      </w:pPr>
      <w:r>
        <w:rPr>
          <w:rFonts w:hint="default" w:ascii="Times New Roman" w:hAnsi="Times New Roman" w:cs="Times New Roman"/>
          <w:color w:val="auto"/>
          <w:sz w:val="28"/>
          <w:szCs w:val="28"/>
        </w:rPr>
        <w:t>5、尾矿坝坡面无排水系统或排水系统不完善</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造成坝面冲刷严重</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威胁坝体安全</w:t>
      </w:r>
      <w:r>
        <w:rPr>
          <w:rFonts w:hint="eastAsia" w:ascii="Times New Roman" w:hAnsi="Times New Roman" w:cs="Times New Roman"/>
          <w:color w:val="auto"/>
          <w:sz w:val="28"/>
          <w:szCs w:val="28"/>
          <w:lang w:eastAsia="zh-CN"/>
        </w:rPr>
        <w:t>；</w:t>
      </w:r>
    </w:p>
    <w:p w14:paraId="06E6E9D8">
      <w:pPr>
        <w:spacing w:line="60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6、为增加蓄水量</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片面提高库内水位</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造成尾矿库安全超高不足</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降低坝体稳定性。</w:t>
      </w:r>
    </w:p>
    <w:p w14:paraId="246A100F">
      <w:pPr>
        <w:spacing w:line="6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cs="Times New Roman"/>
          <w:color w:val="auto"/>
          <w:sz w:val="28"/>
          <w:szCs w:val="28"/>
          <w:lang w:val="en-US" w:eastAsia="zh-CN"/>
        </w:rPr>
        <w:t>经现场检查</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lang w:val="en-US" w:eastAsia="zh-CN"/>
        </w:rPr>
        <w:t>江西临川鲁金矿业有限公司茅排金矿庄前尾矿库发生滑坡的可能性较小。</w:t>
      </w:r>
    </w:p>
    <w:p w14:paraId="05A71AD1">
      <w:pPr>
        <w:pStyle w:val="5"/>
        <w:bidi w:val="0"/>
        <w:rPr>
          <w:rFonts w:hint="default" w:ascii="Times New Roman" w:hAnsi="Times New Roman" w:cs="Times New Roman"/>
          <w:color w:val="auto"/>
        </w:rPr>
      </w:pPr>
      <w:bookmarkStart w:id="90" w:name="_Toc289872673"/>
      <w:bookmarkStart w:id="91" w:name="_Toc14070"/>
      <w:bookmarkStart w:id="92" w:name="_Toc289088978"/>
      <w:r>
        <w:rPr>
          <w:rFonts w:hint="default" w:ascii="Times New Roman" w:hAnsi="Times New Roman" w:cs="Times New Roman"/>
          <w:color w:val="auto"/>
        </w:rPr>
        <w:t>3.2.2渗漏</w:t>
      </w:r>
      <w:bookmarkEnd w:id="90"/>
      <w:bookmarkEnd w:id="91"/>
      <w:bookmarkEnd w:id="92"/>
    </w:p>
    <w:p w14:paraId="733D3860">
      <w:pPr>
        <w:spacing w:line="60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非正常渗漏也是尾矿库常见的危险、</w:t>
      </w:r>
      <w:r>
        <w:rPr>
          <w:rFonts w:hint="default" w:ascii="Times New Roman" w:hAnsi="Times New Roman" w:cs="Times New Roman"/>
          <w:bCs/>
          <w:color w:val="auto"/>
          <w:sz w:val="28"/>
          <w:szCs w:val="28"/>
        </w:rPr>
        <w:t>有害因素</w:t>
      </w:r>
      <w:r>
        <w:rPr>
          <w:rFonts w:hint="eastAsia" w:ascii="Times New Roman" w:hAnsi="Times New Roman" w:cs="Times New Roman"/>
          <w:bCs/>
          <w:color w:val="auto"/>
          <w:sz w:val="28"/>
          <w:szCs w:val="28"/>
          <w:lang w:eastAsia="zh-CN"/>
        </w:rPr>
        <w:t>，</w:t>
      </w:r>
      <w:r>
        <w:rPr>
          <w:rFonts w:hint="default" w:ascii="Times New Roman" w:hAnsi="Times New Roman" w:cs="Times New Roman"/>
          <w:color w:val="auto"/>
          <w:sz w:val="28"/>
          <w:szCs w:val="28"/>
        </w:rPr>
        <w:t>异常渗漏常导致溢流出口处坝体流土、冲刷及管涌等多种形式的破坏</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严重的会导致垮坝事故。非正常渗漏按渗漏的部位可分为：坝体渗漏、坝基渗漏。</w:t>
      </w:r>
    </w:p>
    <w:p w14:paraId="1BE75CE0">
      <w:pPr>
        <w:snapToGrid w:val="0"/>
        <w:spacing w:line="600" w:lineRule="exact"/>
        <w:ind w:firstLine="560" w:firstLineChars="20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1、坝体渗漏的主要原因：</w:t>
      </w:r>
    </w:p>
    <w:p w14:paraId="4511987B">
      <w:pPr>
        <w:snapToGrid w:val="0"/>
        <w:spacing w:line="600" w:lineRule="exact"/>
        <w:ind w:firstLine="700" w:firstLineChars="25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（1）尾矿坝无排渗设施；</w:t>
      </w:r>
    </w:p>
    <w:p w14:paraId="22EED6A0">
      <w:pPr>
        <w:snapToGrid w:val="0"/>
        <w:spacing w:line="600" w:lineRule="exact"/>
        <w:ind w:firstLine="700" w:firstLineChars="25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（2）尾矿澄清距离过短；</w:t>
      </w:r>
    </w:p>
    <w:p w14:paraId="35D40065">
      <w:pPr>
        <w:snapToGrid w:val="0"/>
        <w:spacing w:line="600" w:lineRule="exact"/>
        <w:ind w:firstLine="700" w:firstLineChars="25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（3）尾矿坝下游坝面坡度过陡；</w:t>
      </w:r>
    </w:p>
    <w:p w14:paraId="25946181">
      <w:pPr>
        <w:snapToGrid w:val="0"/>
        <w:spacing w:line="600" w:lineRule="exact"/>
        <w:ind w:firstLine="560" w:firstLineChars="20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2、基础渗漏的主要原因：</w:t>
      </w:r>
    </w:p>
    <w:p w14:paraId="126BB7CB">
      <w:pPr>
        <w:snapToGrid w:val="0"/>
        <w:spacing w:line="600" w:lineRule="exact"/>
        <w:ind w:firstLine="700" w:firstLineChars="25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（1）坝基的工程地质条件差</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且施工时未进行必要的处理；</w:t>
      </w:r>
    </w:p>
    <w:p w14:paraId="66CDF0A0">
      <w:pPr>
        <w:snapToGrid w:val="0"/>
        <w:spacing w:line="600" w:lineRule="exact"/>
        <w:ind w:firstLine="700" w:firstLineChars="25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（2）筑坝材料不当；</w:t>
      </w:r>
    </w:p>
    <w:p w14:paraId="0E5B36EF">
      <w:pPr>
        <w:snapToGrid w:val="0"/>
        <w:spacing w:line="600" w:lineRule="exact"/>
        <w:ind w:firstLine="700" w:firstLineChars="250"/>
        <w:textAlignment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（3）无排渗设施。</w:t>
      </w:r>
    </w:p>
    <w:p w14:paraId="27363E53">
      <w:pPr>
        <w:snapToGrid w:val="0"/>
        <w:spacing w:line="600" w:lineRule="exact"/>
        <w:ind w:firstLine="700" w:firstLineChars="250"/>
        <w:textAlignment w:val="center"/>
        <w:rPr>
          <w:rFonts w:hint="default" w:ascii="Times New Roman" w:hAnsi="Times New Roman" w:eastAsia="宋体" w:cs="Times New Roman"/>
          <w:color w:val="auto"/>
          <w:sz w:val="28"/>
          <w:szCs w:val="28"/>
          <w:lang w:val="en-US" w:eastAsia="zh-CN"/>
        </w:rPr>
      </w:pPr>
      <w:r>
        <w:rPr>
          <w:rFonts w:hint="default" w:ascii="Times New Roman" w:hAnsi="Times New Roman" w:cs="Times New Roman"/>
          <w:color w:val="auto"/>
          <w:lang w:val="en-US" w:eastAsia="zh-CN"/>
        </w:rPr>
        <w:t>江西临川鲁金矿业有限公司茅排金矿庄前尾矿库</w:t>
      </w:r>
      <w:r>
        <w:rPr>
          <w:rFonts w:hint="default" w:ascii="Times New Roman" w:hAnsi="Times New Roman" w:cs="Times New Roman"/>
          <w:color w:val="auto"/>
          <w:sz w:val="28"/>
          <w:szCs w:val="28"/>
          <w:lang w:val="en-US" w:eastAsia="zh-CN"/>
        </w:rPr>
        <w:t>发生渗漏的可能性较小。</w:t>
      </w:r>
    </w:p>
    <w:p w14:paraId="3DA0AD2A">
      <w:pPr>
        <w:pStyle w:val="5"/>
        <w:bidi w:val="0"/>
        <w:rPr>
          <w:rFonts w:hint="default" w:ascii="Times New Roman" w:hAnsi="Times New Roman" w:cs="Times New Roman"/>
          <w:color w:val="auto"/>
        </w:rPr>
      </w:pPr>
      <w:bookmarkStart w:id="93" w:name="_Toc289872674"/>
      <w:bookmarkStart w:id="94" w:name="_Toc10999"/>
      <w:bookmarkStart w:id="95" w:name="_Toc289088979"/>
      <w:r>
        <w:rPr>
          <w:rFonts w:hint="default" w:ascii="Times New Roman" w:hAnsi="Times New Roman" w:cs="Times New Roman"/>
          <w:color w:val="auto"/>
        </w:rPr>
        <w:t>3.2.3排水、泄洪构筑物破坏</w:t>
      </w:r>
      <w:bookmarkEnd w:id="93"/>
      <w:bookmarkEnd w:id="94"/>
      <w:bookmarkEnd w:id="95"/>
    </w:p>
    <w:p w14:paraId="74CC1997">
      <w:pPr>
        <w:spacing w:line="600" w:lineRule="exact"/>
        <w:ind w:firstLine="600" w:firstLineChars="224"/>
        <w:rPr>
          <w:rFonts w:hint="default" w:ascii="Times New Roman" w:hAnsi="Times New Roman" w:cs="Times New Roman"/>
          <w:color w:val="auto"/>
          <w:spacing w:val="-6"/>
          <w:sz w:val="28"/>
          <w:szCs w:val="28"/>
        </w:rPr>
      </w:pPr>
      <w:bookmarkStart w:id="96" w:name="_Toc289088980"/>
      <w:r>
        <w:rPr>
          <w:rFonts w:hint="default" w:ascii="Times New Roman" w:hAnsi="Times New Roman" w:cs="Times New Roman"/>
          <w:color w:val="auto"/>
          <w:spacing w:val="-6"/>
          <w:sz w:val="28"/>
          <w:szCs w:val="28"/>
        </w:rPr>
        <w:t>1、排洪构筑物堵塞</w:t>
      </w:r>
      <w:bookmarkEnd w:id="96"/>
    </w:p>
    <w:p w14:paraId="1468987A">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排洪构筑物堵塞导致排洪能力急剧下降</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库水位上升</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安全超高不够</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直接危及坝体安全。</w:t>
      </w:r>
    </w:p>
    <w:p w14:paraId="252AEF3F">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排洪构筑物堵塞主要原因有：</w:t>
      </w:r>
    </w:p>
    <w:p w14:paraId="76236F04">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1）进水口杂物淤积；</w:t>
      </w:r>
    </w:p>
    <w:p w14:paraId="288B0AD8">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2）构筑物垮塌。</w:t>
      </w:r>
    </w:p>
    <w:p w14:paraId="3030530D">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3）长期对排洪构筑物不进行检查、维修</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致使堵塞、露筋、塌陷等隐患未能及时发现。</w:t>
      </w:r>
    </w:p>
    <w:p w14:paraId="30AA8CBA">
      <w:pPr>
        <w:spacing w:line="600" w:lineRule="exact"/>
        <w:ind w:firstLine="600" w:firstLineChars="224"/>
        <w:rPr>
          <w:rFonts w:hint="default" w:ascii="Times New Roman" w:hAnsi="Times New Roman" w:cs="Times New Roman"/>
          <w:color w:val="auto"/>
          <w:spacing w:val="-6"/>
          <w:sz w:val="28"/>
          <w:szCs w:val="28"/>
        </w:rPr>
      </w:pPr>
      <w:bookmarkStart w:id="97" w:name="_Toc289088981"/>
      <w:r>
        <w:rPr>
          <w:rFonts w:hint="default" w:ascii="Times New Roman" w:hAnsi="Times New Roman" w:cs="Times New Roman"/>
          <w:color w:val="auto"/>
          <w:spacing w:val="-6"/>
          <w:sz w:val="28"/>
          <w:szCs w:val="28"/>
        </w:rPr>
        <w:t>2、排洪构筑物错动、断裂、气蚀、垮塌</w:t>
      </w:r>
      <w:bookmarkEnd w:id="97"/>
    </w:p>
    <w:p w14:paraId="104DEA81">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排洪构筑物错动、断裂常常造成大量泄漏</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垮塌造成堵塞</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排洪能力急剧下降</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直接危及坝体安全。</w:t>
      </w:r>
    </w:p>
    <w:p w14:paraId="7CCDE16B">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排洪构筑物断裂、垮塌常由下列原因引起：</w:t>
      </w:r>
    </w:p>
    <w:p w14:paraId="7740974D">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1）基础资料不确切、设计方案及技术论证方法不当、不遵循设计规范、对库水位及浸润线深度的控制要求不明确</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或要求不切实际等方面；</w:t>
      </w:r>
    </w:p>
    <w:p w14:paraId="4CC7765F">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2）设计人员技术不高或经验不足所造成；</w:t>
      </w:r>
    </w:p>
    <w:p w14:paraId="5A6C6EA0">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3）未按设计要求施工；</w:t>
      </w:r>
    </w:p>
    <w:p w14:paraId="539AD244">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4）排洪管线等处的不良地质条件未能查明</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地基不均匀沉陷；出现不均匀或集中荷载；水流流态改变等。</w:t>
      </w:r>
    </w:p>
    <w:p w14:paraId="3EFAB42A">
      <w:pPr>
        <w:spacing w:line="600" w:lineRule="exact"/>
        <w:ind w:firstLine="600" w:firstLineChars="224"/>
        <w:rPr>
          <w:rFonts w:hint="default" w:ascii="Times New Roman" w:hAnsi="Times New Roman" w:cs="Times New Roman"/>
          <w:color w:val="auto"/>
          <w:spacing w:val="-6"/>
          <w:sz w:val="28"/>
          <w:szCs w:val="28"/>
        </w:rPr>
      </w:pPr>
      <w:r>
        <w:rPr>
          <w:rFonts w:hint="default" w:ascii="Times New Roman" w:hAnsi="Times New Roman" w:cs="Times New Roman"/>
          <w:color w:val="auto"/>
          <w:spacing w:val="-6"/>
          <w:sz w:val="28"/>
          <w:szCs w:val="28"/>
        </w:rPr>
        <w:t>5）排洪构筑物有蜂窝、麻面或强度不达标</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当负荷逐渐增大时</w:t>
      </w:r>
      <w:r>
        <w:rPr>
          <w:rFonts w:hint="eastAsia" w:ascii="Times New Roman" w:hAnsi="Times New Roman" w:cs="Times New Roman"/>
          <w:color w:val="auto"/>
          <w:spacing w:val="-6"/>
          <w:sz w:val="28"/>
          <w:szCs w:val="28"/>
          <w:lang w:eastAsia="zh-CN"/>
        </w:rPr>
        <w:t>，</w:t>
      </w:r>
      <w:r>
        <w:rPr>
          <w:rFonts w:hint="default" w:ascii="Times New Roman" w:hAnsi="Times New Roman" w:cs="Times New Roman"/>
          <w:color w:val="auto"/>
          <w:spacing w:val="-6"/>
          <w:sz w:val="28"/>
          <w:szCs w:val="28"/>
        </w:rPr>
        <w:t>会造成掉块、漏筋、断裂、甚至倒塌等病害。</w:t>
      </w:r>
    </w:p>
    <w:p w14:paraId="11B29B9D">
      <w:pPr>
        <w:spacing w:line="600" w:lineRule="exact"/>
        <w:ind w:firstLine="600" w:firstLineChars="224"/>
        <w:rPr>
          <w:rFonts w:hint="default" w:ascii="Times New Roman" w:hAnsi="Times New Roman" w:cs="Times New Roman"/>
          <w:color w:val="auto"/>
          <w:spacing w:val="-6"/>
          <w:sz w:val="28"/>
          <w:szCs w:val="28"/>
        </w:rPr>
      </w:pPr>
      <w:bookmarkStart w:id="98" w:name="_Toc289088982"/>
      <w:r>
        <w:rPr>
          <w:rFonts w:hint="default" w:ascii="Times New Roman" w:hAnsi="Times New Roman" w:cs="Times New Roman"/>
          <w:color w:val="auto"/>
          <w:spacing w:val="-6"/>
          <w:sz w:val="28"/>
          <w:szCs w:val="28"/>
        </w:rPr>
        <w:t>3、排洪构筑物排洪能力不足</w:t>
      </w:r>
      <w:bookmarkEnd w:id="98"/>
    </w:p>
    <w:p w14:paraId="4187F086">
      <w:pPr>
        <w:spacing w:line="600" w:lineRule="exact"/>
        <w:ind w:firstLine="600" w:firstLineChars="224"/>
        <w:rPr>
          <w:rFonts w:hint="default" w:ascii="Times New Roman" w:hAnsi="Times New Roman" w:cs="Times New Roman"/>
          <w:bCs/>
          <w:color w:val="auto"/>
          <w:sz w:val="28"/>
          <w:szCs w:val="28"/>
        </w:rPr>
      </w:pPr>
      <w:r>
        <w:rPr>
          <w:rFonts w:hint="default" w:ascii="Times New Roman" w:hAnsi="Times New Roman" w:cs="Times New Roman"/>
          <w:color w:val="auto"/>
          <w:spacing w:val="-6"/>
          <w:sz w:val="28"/>
          <w:szCs w:val="28"/>
        </w:rPr>
        <w:t>排洪构筑物排洪能力不足就不能及时</w:t>
      </w:r>
      <w:r>
        <w:rPr>
          <w:rFonts w:hint="default" w:ascii="Times New Roman" w:hAnsi="Times New Roman" w:cs="Times New Roman"/>
          <w:bCs/>
          <w:color w:val="auto"/>
          <w:sz w:val="28"/>
          <w:szCs w:val="28"/>
        </w:rPr>
        <w:t>排泄设计频率暴雨的洪水</w:t>
      </w:r>
      <w:r>
        <w:rPr>
          <w:rFonts w:hint="eastAsia" w:ascii="Times New Roman" w:hAnsi="Times New Roman" w:cs="Times New Roman"/>
          <w:bCs/>
          <w:color w:val="auto"/>
          <w:sz w:val="28"/>
          <w:szCs w:val="28"/>
          <w:lang w:eastAsia="zh-CN"/>
        </w:rPr>
        <w:t>，</w:t>
      </w:r>
      <w:r>
        <w:rPr>
          <w:rFonts w:hint="default" w:ascii="Times New Roman" w:hAnsi="Times New Roman" w:cs="Times New Roman"/>
          <w:color w:val="auto"/>
          <w:sz w:val="28"/>
          <w:szCs w:val="28"/>
        </w:rPr>
        <w:t>库水位上升</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危及坝体安全。</w:t>
      </w:r>
    </w:p>
    <w:p w14:paraId="00984C9B">
      <w:pPr>
        <w:spacing w:line="600" w:lineRule="exact"/>
        <w:ind w:firstLine="560" w:firstLineChars="200"/>
        <w:rPr>
          <w:rFonts w:hint="default" w:ascii="Times New Roman" w:hAnsi="Times New Roman" w:cs="Times New Roman"/>
          <w:bCs/>
          <w:color w:val="auto"/>
          <w:sz w:val="28"/>
          <w:szCs w:val="28"/>
        </w:rPr>
      </w:pPr>
      <w:r>
        <w:rPr>
          <w:rFonts w:hint="default" w:ascii="Times New Roman" w:hAnsi="Times New Roman" w:cs="Times New Roman"/>
          <w:color w:val="auto"/>
          <w:sz w:val="28"/>
          <w:szCs w:val="28"/>
        </w:rPr>
        <w:t>导致</w:t>
      </w:r>
      <w:r>
        <w:rPr>
          <w:rFonts w:hint="default" w:ascii="Times New Roman" w:hAnsi="Times New Roman" w:cs="Times New Roman"/>
          <w:bCs/>
          <w:color w:val="auto"/>
          <w:sz w:val="28"/>
          <w:szCs w:val="28"/>
        </w:rPr>
        <w:t>排洪构筑物排洪能力不足的主要原因有：</w:t>
      </w:r>
    </w:p>
    <w:p w14:paraId="19D0B129">
      <w:pPr>
        <w:spacing w:line="600" w:lineRule="exact"/>
        <w:ind w:firstLine="560" w:firstLineChars="200"/>
        <w:rPr>
          <w:rFonts w:hint="default" w:ascii="Times New Roman" w:hAnsi="Times New Roman" w:cs="Times New Roman"/>
          <w:bCs/>
          <w:color w:val="auto"/>
          <w:sz w:val="28"/>
          <w:szCs w:val="28"/>
        </w:rPr>
      </w:pPr>
      <w:r>
        <w:rPr>
          <w:rFonts w:hint="default" w:ascii="Times New Roman" w:hAnsi="Times New Roman" w:cs="Times New Roman"/>
          <w:bCs/>
          <w:color w:val="auto"/>
          <w:sz w:val="28"/>
          <w:szCs w:val="28"/>
        </w:rPr>
        <w:t>1）原设计洪水标准低于现行标准；</w:t>
      </w:r>
    </w:p>
    <w:p w14:paraId="3EC06B68">
      <w:pPr>
        <w:spacing w:line="600" w:lineRule="exact"/>
        <w:ind w:firstLine="627" w:firstLineChars="224"/>
        <w:rPr>
          <w:rFonts w:hint="default" w:ascii="Times New Roman" w:hAnsi="Times New Roman" w:cs="Times New Roman"/>
          <w:bCs/>
          <w:color w:val="auto"/>
          <w:sz w:val="28"/>
          <w:szCs w:val="28"/>
        </w:rPr>
      </w:pPr>
      <w:r>
        <w:rPr>
          <w:rFonts w:hint="default" w:ascii="Times New Roman" w:hAnsi="Times New Roman" w:cs="Times New Roman"/>
          <w:bCs/>
          <w:color w:val="auto"/>
          <w:sz w:val="28"/>
          <w:szCs w:val="28"/>
        </w:rPr>
        <w:t>2）为节约投资</w:t>
      </w:r>
      <w:r>
        <w:rPr>
          <w:rFonts w:hint="eastAsia" w:ascii="Times New Roman" w:hAnsi="Times New Roman" w:cs="Times New Roman"/>
          <w:bCs/>
          <w:color w:val="auto"/>
          <w:sz w:val="28"/>
          <w:szCs w:val="28"/>
          <w:lang w:eastAsia="zh-CN"/>
        </w:rPr>
        <w:t>，</w:t>
      </w:r>
      <w:r>
        <w:rPr>
          <w:rFonts w:hint="default" w:ascii="Times New Roman" w:hAnsi="Times New Roman" w:cs="Times New Roman"/>
          <w:bCs/>
          <w:color w:val="auto"/>
          <w:sz w:val="28"/>
          <w:szCs w:val="28"/>
        </w:rPr>
        <w:t>人为缩小排洪通道断面尺寸；</w:t>
      </w:r>
    </w:p>
    <w:p w14:paraId="1F0E712A">
      <w:pPr>
        <w:spacing w:line="600" w:lineRule="exact"/>
        <w:ind w:firstLine="627" w:firstLineChars="224"/>
        <w:rPr>
          <w:rFonts w:hint="default" w:ascii="Times New Roman" w:hAnsi="Times New Roman" w:cs="Times New Roman"/>
          <w:bCs/>
          <w:color w:val="auto"/>
          <w:sz w:val="28"/>
          <w:szCs w:val="28"/>
        </w:rPr>
      </w:pPr>
      <w:r>
        <w:rPr>
          <w:rFonts w:hint="default" w:ascii="Times New Roman" w:hAnsi="Times New Roman" w:cs="Times New Roman"/>
          <w:bCs/>
          <w:color w:val="auto"/>
          <w:sz w:val="28"/>
          <w:szCs w:val="28"/>
        </w:rPr>
        <w:t>3）排洪通道存在限制性“瓶颈”。</w:t>
      </w:r>
    </w:p>
    <w:p w14:paraId="64B09DCE">
      <w:pPr>
        <w:spacing w:line="600" w:lineRule="exact"/>
        <w:ind w:firstLine="627" w:firstLineChars="224"/>
        <w:rPr>
          <w:rFonts w:hint="default" w:ascii="Times New Roman" w:hAnsi="Times New Roman" w:eastAsia="宋体" w:cs="Times New Roman"/>
          <w:bCs/>
          <w:color w:val="auto"/>
          <w:sz w:val="28"/>
          <w:szCs w:val="28"/>
          <w:lang w:val="en-US" w:eastAsia="zh-CN"/>
        </w:rPr>
      </w:pPr>
      <w:r>
        <w:rPr>
          <w:rFonts w:hint="default" w:ascii="Times New Roman" w:hAnsi="Times New Roman" w:cs="Times New Roman"/>
          <w:bCs/>
          <w:color w:val="auto"/>
          <w:sz w:val="28"/>
          <w:szCs w:val="28"/>
          <w:lang w:val="en-US" w:eastAsia="zh-CN"/>
        </w:rPr>
        <w:t>经现场检查</w:t>
      </w:r>
      <w:r>
        <w:rPr>
          <w:rFonts w:hint="eastAsia" w:ascii="Times New Roman" w:hAnsi="Times New Roman" w:cs="Times New Roman"/>
          <w:bCs/>
          <w:color w:val="auto"/>
          <w:sz w:val="28"/>
          <w:szCs w:val="28"/>
          <w:lang w:val="en-US" w:eastAsia="zh-CN"/>
        </w:rPr>
        <w:t>，</w:t>
      </w:r>
      <w:r>
        <w:rPr>
          <w:rFonts w:hint="default" w:ascii="Times New Roman" w:hAnsi="Times New Roman" w:cs="Times New Roman"/>
          <w:bCs/>
          <w:color w:val="auto"/>
          <w:sz w:val="28"/>
          <w:szCs w:val="28"/>
          <w:lang w:val="en-US" w:eastAsia="zh-CN"/>
        </w:rPr>
        <w:t>未发现排水、泄洪构筑物有破坏迹象。</w:t>
      </w:r>
    </w:p>
    <w:p w14:paraId="32FF5E05">
      <w:pPr>
        <w:pStyle w:val="5"/>
        <w:bidi w:val="0"/>
        <w:rPr>
          <w:rFonts w:hint="default" w:ascii="Times New Roman" w:hAnsi="Times New Roman" w:cs="Times New Roman"/>
          <w:color w:val="auto"/>
        </w:rPr>
      </w:pPr>
      <w:bookmarkStart w:id="99" w:name="_Toc20390"/>
      <w:bookmarkStart w:id="100" w:name="_Toc289088983"/>
      <w:bookmarkStart w:id="101" w:name="_Toc289872675"/>
      <w:r>
        <w:rPr>
          <w:rFonts w:hint="default" w:ascii="Times New Roman" w:hAnsi="Times New Roman" w:cs="Times New Roman"/>
          <w:color w:val="auto"/>
        </w:rPr>
        <w:t>3.2.4裂缝</w:t>
      </w:r>
      <w:bookmarkEnd w:id="99"/>
      <w:bookmarkEnd w:id="100"/>
      <w:bookmarkEnd w:id="101"/>
    </w:p>
    <w:p w14:paraId="3B06DA15">
      <w:pPr>
        <w:spacing w:line="600" w:lineRule="exact"/>
        <w:ind w:firstLine="627" w:firstLineChars="224"/>
        <w:rPr>
          <w:rFonts w:hint="default" w:ascii="Times New Roman" w:hAnsi="Times New Roman" w:cs="Times New Roman"/>
          <w:bCs/>
          <w:color w:val="auto"/>
          <w:sz w:val="28"/>
          <w:szCs w:val="28"/>
        </w:rPr>
      </w:pPr>
      <w:r>
        <w:rPr>
          <w:rFonts w:hint="default" w:ascii="Times New Roman" w:hAnsi="Times New Roman" w:cs="Times New Roman"/>
          <w:color w:val="auto"/>
          <w:sz w:val="28"/>
          <w:szCs w:val="28"/>
        </w:rPr>
        <w:t>裂缝是尾矿坝较为常见的</w:t>
      </w:r>
      <w:r>
        <w:rPr>
          <w:rFonts w:hint="default" w:ascii="Times New Roman" w:hAnsi="Times New Roman" w:cs="Times New Roman"/>
          <w:bCs/>
          <w:color w:val="auto"/>
          <w:sz w:val="28"/>
          <w:szCs w:val="28"/>
        </w:rPr>
        <w:t>有害因素</w:t>
      </w:r>
      <w:r>
        <w:rPr>
          <w:rFonts w:hint="eastAsia" w:ascii="Times New Roman" w:hAnsi="Times New Roman" w:cs="Times New Roman"/>
          <w:bCs/>
          <w:color w:val="auto"/>
          <w:sz w:val="28"/>
          <w:szCs w:val="28"/>
          <w:lang w:eastAsia="zh-CN"/>
        </w:rPr>
        <w:t>，</w:t>
      </w:r>
      <w:r>
        <w:rPr>
          <w:rFonts w:hint="default" w:ascii="Times New Roman" w:hAnsi="Times New Roman" w:cs="Times New Roman"/>
          <w:bCs/>
          <w:color w:val="auto"/>
          <w:sz w:val="28"/>
          <w:szCs w:val="28"/>
        </w:rPr>
        <w:t>某些细小的横向裂缝有可能发展成为坝体的集中渗漏通道</w:t>
      </w:r>
      <w:r>
        <w:rPr>
          <w:rFonts w:hint="eastAsia" w:ascii="Times New Roman" w:hAnsi="Times New Roman" w:cs="Times New Roman"/>
          <w:bCs/>
          <w:color w:val="auto"/>
          <w:sz w:val="28"/>
          <w:szCs w:val="28"/>
          <w:lang w:eastAsia="zh-CN"/>
        </w:rPr>
        <w:t>，</w:t>
      </w:r>
      <w:r>
        <w:rPr>
          <w:rFonts w:hint="default" w:ascii="Times New Roman" w:hAnsi="Times New Roman" w:cs="Times New Roman"/>
          <w:bCs/>
          <w:color w:val="auto"/>
          <w:sz w:val="28"/>
          <w:szCs w:val="28"/>
        </w:rPr>
        <w:t>有的纵向裂缝或水平裂缝也可能是坝体出现滑塌的预兆。</w:t>
      </w:r>
    </w:p>
    <w:p w14:paraId="771CFDB1">
      <w:pPr>
        <w:spacing w:line="600" w:lineRule="exact"/>
        <w:ind w:firstLine="627" w:firstLineChars="224"/>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裂缝的主要成因有：</w:t>
      </w:r>
    </w:p>
    <w:p w14:paraId="2FBFEEBC">
      <w:pPr>
        <w:spacing w:line="600" w:lineRule="exact"/>
        <w:ind w:firstLine="627" w:firstLineChars="224"/>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1、坝基承载能力不均衡；</w:t>
      </w:r>
    </w:p>
    <w:p w14:paraId="138779A6">
      <w:pPr>
        <w:spacing w:line="600" w:lineRule="exact"/>
        <w:ind w:firstLine="627" w:firstLineChars="224"/>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2、坝体施工质量差；</w:t>
      </w:r>
    </w:p>
    <w:p w14:paraId="616040CF">
      <w:pPr>
        <w:spacing w:line="600" w:lineRule="exact"/>
        <w:ind w:firstLine="627" w:firstLineChars="224"/>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3、坝身结构及断面尺寸设计不当。</w:t>
      </w:r>
    </w:p>
    <w:p w14:paraId="3DA4A756">
      <w:pPr>
        <w:spacing w:line="600" w:lineRule="exact"/>
        <w:ind w:firstLine="627" w:firstLineChars="224"/>
        <w:rPr>
          <w:rFonts w:hint="default" w:ascii="Times New Roman" w:hAnsi="Times New Roman" w:eastAsia="宋体" w:cs="Times New Roman"/>
          <w:color w:val="auto"/>
          <w:sz w:val="28"/>
          <w:szCs w:val="28"/>
          <w:lang w:val="en-US" w:eastAsia="zh-CN"/>
        </w:rPr>
      </w:pPr>
      <w:r>
        <w:rPr>
          <w:rFonts w:hint="default" w:ascii="Times New Roman" w:hAnsi="Times New Roman" w:cs="Times New Roman"/>
          <w:color w:val="auto"/>
          <w:sz w:val="28"/>
          <w:szCs w:val="28"/>
        </w:rPr>
        <w:t>江西临川鲁金矿业有限公司茅排金矿庄前尾矿库</w:t>
      </w:r>
      <w:r>
        <w:rPr>
          <w:rFonts w:hint="default" w:ascii="Times New Roman" w:hAnsi="Times New Roman" w:cs="Times New Roman"/>
          <w:color w:val="auto"/>
          <w:sz w:val="28"/>
          <w:szCs w:val="28"/>
          <w:lang w:val="en-US" w:eastAsia="zh-CN"/>
        </w:rPr>
        <w:t>未见有裂缝。</w:t>
      </w:r>
    </w:p>
    <w:p w14:paraId="762B9EE6">
      <w:pPr>
        <w:pStyle w:val="5"/>
        <w:bidi w:val="0"/>
        <w:rPr>
          <w:rFonts w:hint="default" w:ascii="Times New Roman" w:hAnsi="Times New Roman" w:cs="Times New Roman"/>
          <w:color w:val="auto"/>
        </w:rPr>
      </w:pPr>
      <w:bookmarkStart w:id="102" w:name="_Toc289088984"/>
      <w:bookmarkStart w:id="103" w:name="_Toc289872676"/>
      <w:bookmarkStart w:id="104" w:name="_Toc1399"/>
      <w:r>
        <w:rPr>
          <w:rFonts w:hint="default" w:ascii="Times New Roman" w:hAnsi="Times New Roman" w:cs="Times New Roman"/>
          <w:color w:val="auto"/>
        </w:rPr>
        <w:t>3.2.5淹溺</w:t>
      </w:r>
      <w:bookmarkEnd w:id="102"/>
      <w:bookmarkEnd w:id="103"/>
      <w:bookmarkEnd w:id="104"/>
    </w:p>
    <w:p w14:paraId="60DBD346">
      <w:pPr>
        <w:spacing w:line="600" w:lineRule="exact"/>
        <w:ind w:firstLine="627" w:firstLineChars="224"/>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人员在</w:t>
      </w:r>
      <w:r>
        <w:rPr>
          <w:rFonts w:hint="eastAsia" w:ascii="Times New Roman" w:hAnsi="Times New Roman" w:cs="Times New Roman"/>
          <w:color w:val="auto"/>
          <w:sz w:val="28"/>
          <w:szCs w:val="28"/>
          <w:lang w:val="en-US" w:eastAsia="zh-CN"/>
        </w:rPr>
        <w:t>排水斜槽添加或拆除盖板、</w:t>
      </w:r>
      <w:r>
        <w:rPr>
          <w:rFonts w:hint="default" w:ascii="Times New Roman" w:hAnsi="Times New Roman" w:cs="Times New Roman"/>
          <w:color w:val="auto"/>
          <w:sz w:val="28"/>
          <w:szCs w:val="28"/>
        </w:rPr>
        <w:t>巡查尾矿库</w:t>
      </w:r>
      <w:r>
        <w:rPr>
          <w:rFonts w:hint="eastAsia" w:ascii="Times New Roman" w:hAnsi="Times New Roman" w:cs="Times New Roman"/>
          <w:color w:val="auto"/>
          <w:sz w:val="28"/>
          <w:szCs w:val="28"/>
          <w:lang w:val="en-US" w:eastAsia="zh-CN"/>
        </w:rPr>
        <w:t>库内</w:t>
      </w:r>
      <w:r>
        <w:rPr>
          <w:rFonts w:hint="default" w:ascii="Times New Roman" w:hAnsi="Times New Roman" w:cs="Times New Roman"/>
          <w:color w:val="auto"/>
          <w:sz w:val="28"/>
          <w:szCs w:val="28"/>
        </w:rPr>
        <w:t>时意外坠入水中</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将造成人员淹溺窒息。</w:t>
      </w:r>
    </w:p>
    <w:p w14:paraId="04ABB1AD">
      <w:pPr>
        <w:spacing w:line="600" w:lineRule="exact"/>
        <w:ind w:firstLine="627" w:firstLineChars="224"/>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rPr>
        <w:t>江西临川鲁金矿业有限公司茅排金矿庄前尾矿库</w:t>
      </w:r>
      <w:r>
        <w:rPr>
          <w:rFonts w:hint="default" w:ascii="Times New Roman" w:hAnsi="Times New Roman" w:cs="Times New Roman"/>
          <w:color w:val="auto"/>
          <w:sz w:val="28"/>
          <w:szCs w:val="28"/>
          <w:lang w:val="en-US" w:eastAsia="zh-CN"/>
        </w:rPr>
        <w:t>库内可能发生淹溺事故。</w:t>
      </w:r>
    </w:p>
    <w:p w14:paraId="43CF332F">
      <w:pPr>
        <w:pStyle w:val="5"/>
        <w:bidi w:val="0"/>
        <w:rPr>
          <w:rFonts w:hint="default" w:ascii="Times New Roman" w:hAnsi="Times New Roman" w:cs="Times New Roman"/>
          <w:color w:val="auto"/>
        </w:rPr>
      </w:pPr>
      <w:bookmarkStart w:id="105" w:name="_Toc289872677"/>
      <w:bookmarkStart w:id="106" w:name="_Toc289088985"/>
      <w:bookmarkStart w:id="107" w:name="_Toc18074"/>
      <w:r>
        <w:rPr>
          <w:rFonts w:hint="default" w:ascii="Times New Roman" w:hAnsi="Times New Roman" w:cs="Times New Roman"/>
          <w:color w:val="auto"/>
        </w:rPr>
        <w:t>3.2.6高处坠落</w:t>
      </w:r>
      <w:bookmarkEnd w:id="105"/>
      <w:bookmarkEnd w:id="106"/>
      <w:bookmarkEnd w:id="107"/>
    </w:p>
    <w:p w14:paraId="77C0D1E1">
      <w:pPr>
        <w:spacing w:line="600" w:lineRule="exact"/>
        <w:ind w:firstLine="552" w:firstLineChars="200"/>
        <w:rPr>
          <w:rFonts w:hint="default" w:ascii="Times New Roman" w:hAnsi="Times New Roman" w:cs="Times New Roman"/>
          <w:color w:val="auto"/>
          <w:spacing w:val="-2"/>
          <w:sz w:val="28"/>
          <w:szCs w:val="28"/>
        </w:rPr>
      </w:pPr>
      <w:r>
        <w:rPr>
          <w:rFonts w:hint="default" w:ascii="Times New Roman" w:hAnsi="Times New Roman" w:cs="Times New Roman"/>
          <w:color w:val="auto"/>
          <w:spacing w:val="-2"/>
          <w:sz w:val="28"/>
          <w:szCs w:val="28"/>
        </w:rPr>
        <w:t>高处坠落是指在高处作业中发生坠落造成的伤亡事故。本项目主要是指在库区巡查时</w:t>
      </w:r>
      <w:r>
        <w:rPr>
          <w:rFonts w:hint="eastAsia" w:ascii="Times New Roman" w:hAnsi="Times New Roman" w:cs="Times New Roman"/>
          <w:color w:val="auto"/>
          <w:spacing w:val="-2"/>
          <w:sz w:val="28"/>
          <w:szCs w:val="28"/>
          <w:lang w:eastAsia="zh-CN"/>
        </w:rPr>
        <w:t>，</w:t>
      </w:r>
      <w:r>
        <w:rPr>
          <w:rFonts w:hint="default" w:ascii="Times New Roman" w:hAnsi="Times New Roman" w:cs="Times New Roman"/>
          <w:color w:val="auto"/>
          <w:spacing w:val="-2"/>
          <w:sz w:val="28"/>
          <w:szCs w:val="28"/>
        </w:rPr>
        <w:t>思想麻痹、身体、精神状态不良等意外发生高处坠落事故。</w:t>
      </w:r>
    </w:p>
    <w:p w14:paraId="10DBAA98">
      <w:pPr>
        <w:pStyle w:val="5"/>
        <w:bidi w:val="0"/>
        <w:rPr>
          <w:rFonts w:hint="default" w:ascii="Times New Roman" w:hAnsi="Times New Roman" w:cs="Times New Roman"/>
          <w:color w:val="auto"/>
        </w:rPr>
      </w:pPr>
      <w:bookmarkStart w:id="108" w:name="_Toc289088986"/>
      <w:bookmarkStart w:id="109" w:name="_Toc289872678"/>
      <w:bookmarkStart w:id="110" w:name="_Toc12509"/>
      <w:r>
        <w:rPr>
          <w:rFonts w:hint="default" w:ascii="Times New Roman" w:hAnsi="Times New Roman" w:cs="Times New Roman"/>
          <w:color w:val="auto"/>
        </w:rPr>
        <w:t>3.2.7库区山体滑坡、塌方和泥石流</w:t>
      </w:r>
      <w:bookmarkEnd w:id="108"/>
      <w:bookmarkEnd w:id="109"/>
      <w:bookmarkEnd w:id="110"/>
    </w:p>
    <w:p w14:paraId="7D272686">
      <w:pPr>
        <w:spacing w:line="600" w:lineRule="exact"/>
        <w:ind w:firstLine="518" w:firstLineChars="185"/>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库区山体滑坡、塌方和泥石流会阻塞截洪沟、库内排洪系统造成洪水漫坝</w:t>
      </w:r>
      <w:r>
        <w:rPr>
          <w:rFonts w:hint="eastAsia" w:ascii="Times New Roman" w:hAnsi="Times New Roman" w:cs="Times New Roman"/>
          <w:color w:val="auto"/>
          <w:sz w:val="28"/>
          <w:szCs w:val="28"/>
          <w:lang w:eastAsia="zh-CN"/>
        </w:rPr>
        <w:t>，</w:t>
      </w:r>
      <w:r>
        <w:rPr>
          <w:rFonts w:hint="default" w:ascii="Times New Roman" w:hAnsi="Times New Roman" w:cs="Times New Roman"/>
          <w:bCs/>
          <w:color w:val="auto"/>
          <w:sz w:val="28"/>
          <w:szCs w:val="28"/>
        </w:rPr>
        <w:t>对</w:t>
      </w:r>
      <w:r>
        <w:rPr>
          <w:rFonts w:hint="default" w:ascii="Times New Roman" w:hAnsi="Times New Roman" w:cs="Times New Roman"/>
          <w:color w:val="auto"/>
          <w:sz w:val="28"/>
          <w:szCs w:val="28"/>
        </w:rPr>
        <w:t>尾矿库的安全产生不利影响。</w:t>
      </w:r>
    </w:p>
    <w:p w14:paraId="50F4AAA5">
      <w:pPr>
        <w:spacing w:line="600" w:lineRule="exact"/>
        <w:ind w:firstLine="518" w:firstLineChars="185"/>
        <w:rPr>
          <w:rFonts w:hint="default" w:ascii="Times New Roman" w:hAnsi="Times New Roman" w:eastAsia="宋体" w:cs="Times New Roman"/>
          <w:color w:val="auto"/>
          <w:sz w:val="28"/>
          <w:szCs w:val="28"/>
          <w:lang w:val="en-US" w:eastAsia="zh-CN"/>
        </w:rPr>
      </w:pPr>
      <w:r>
        <w:rPr>
          <w:rFonts w:hint="default" w:ascii="Times New Roman" w:hAnsi="Times New Roman" w:cs="Times New Roman"/>
          <w:color w:val="auto"/>
          <w:sz w:val="28"/>
          <w:szCs w:val="28"/>
        </w:rPr>
        <w:t>江西临川鲁金矿业有限公司茅排金矿庄前尾矿库</w:t>
      </w:r>
      <w:r>
        <w:rPr>
          <w:rFonts w:hint="default" w:ascii="Times New Roman" w:hAnsi="Times New Roman" w:cs="Times New Roman"/>
          <w:color w:val="auto"/>
          <w:sz w:val="28"/>
          <w:szCs w:val="28"/>
          <w:lang w:val="en-US" w:eastAsia="zh-CN"/>
        </w:rPr>
        <w:t>发生山体滑坡、塌方和泥石流的可能性较小。</w:t>
      </w:r>
    </w:p>
    <w:p w14:paraId="56569934">
      <w:pPr>
        <w:pStyle w:val="5"/>
        <w:bidi w:val="0"/>
        <w:rPr>
          <w:rFonts w:hint="default" w:ascii="Times New Roman" w:hAnsi="Times New Roman" w:cs="Times New Roman"/>
          <w:color w:val="auto"/>
        </w:rPr>
      </w:pPr>
      <w:bookmarkStart w:id="111" w:name="_Toc10433"/>
      <w:bookmarkStart w:id="112" w:name="_Toc289872679"/>
      <w:bookmarkStart w:id="113" w:name="_Toc289088987"/>
      <w:r>
        <w:rPr>
          <w:rFonts w:hint="default" w:ascii="Times New Roman" w:hAnsi="Times New Roman" w:cs="Times New Roman"/>
          <w:color w:val="auto"/>
        </w:rPr>
        <w:t>3.2.8不良环境因素</w:t>
      </w:r>
      <w:bookmarkEnd w:id="111"/>
      <w:bookmarkEnd w:id="112"/>
      <w:bookmarkEnd w:id="113"/>
    </w:p>
    <w:p w14:paraId="60B82770">
      <w:pPr>
        <w:spacing w:line="600" w:lineRule="exact"/>
        <w:ind w:firstLine="532" w:firstLineChars="190"/>
        <w:rPr>
          <w:rFonts w:hint="default" w:ascii="Times New Roman" w:hAnsi="Times New Roman" w:cs="Times New Roman"/>
          <w:b/>
          <w:bCs/>
          <w:color w:val="auto"/>
          <w:sz w:val="28"/>
          <w:szCs w:val="28"/>
        </w:rPr>
      </w:pPr>
      <w:r>
        <w:rPr>
          <w:rFonts w:hint="default" w:ascii="Times New Roman" w:hAnsi="Times New Roman" w:cs="Times New Roman"/>
          <w:color w:val="auto"/>
          <w:sz w:val="28"/>
          <w:szCs w:val="28"/>
        </w:rPr>
        <w:t>主要指恶劣自然条件下的不安全因素</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如超设计频率暴雨</w:t>
      </w:r>
      <w:r>
        <w:rPr>
          <w:rFonts w:hint="default" w:ascii="Times New Roman" w:hAnsi="Times New Roman" w:cs="Times New Roman"/>
          <w:bCs/>
          <w:color w:val="auto"/>
          <w:sz w:val="28"/>
          <w:szCs w:val="28"/>
        </w:rPr>
        <w:t>洪水、</w:t>
      </w:r>
      <w:r>
        <w:rPr>
          <w:rFonts w:hint="default" w:ascii="Times New Roman" w:hAnsi="Times New Roman" w:cs="Times New Roman"/>
          <w:color w:val="auto"/>
          <w:sz w:val="28"/>
          <w:szCs w:val="28"/>
        </w:rPr>
        <w:t>库区地震、库区山体滑坡等因素。</w:t>
      </w:r>
    </w:p>
    <w:p w14:paraId="74255EBF">
      <w:pPr>
        <w:pStyle w:val="5"/>
        <w:bidi w:val="0"/>
        <w:rPr>
          <w:rFonts w:hint="default" w:ascii="Times New Roman" w:hAnsi="Times New Roman" w:cs="Times New Roman"/>
          <w:color w:val="auto"/>
        </w:rPr>
      </w:pPr>
      <w:bookmarkStart w:id="114" w:name="_Toc7681"/>
      <w:bookmarkStart w:id="115" w:name="_Toc289088988"/>
      <w:bookmarkStart w:id="116" w:name="_Toc289872680"/>
      <w:r>
        <w:rPr>
          <w:rFonts w:hint="default" w:ascii="Times New Roman" w:hAnsi="Times New Roman" w:cs="Times New Roman"/>
          <w:color w:val="auto"/>
        </w:rPr>
        <w:t>3.2.9其他因素造成的病害</w:t>
      </w:r>
      <w:bookmarkEnd w:id="114"/>
      <w:bookmarkEnd w:id="115"/>
      <w:bookmarkEnd w:id="116"/>
    </w:p>
    <w:p w14:paraId="7E6129B0">
      <w:pPr>
        <w:spacing w:line="600" w:lineRule="exact"/>
        <w:ind w:firstLine="548" w:firstLineChars="196"/>
        <w:rPr>
          <w:rFonts w:hint="default" w:ascii="Times New Roman" w:hAnsi="Times New Roman" w:cs="Times New Roman"/>
          <w:b/>
          <w:bCs/>
          <w:color w:val="auto"/>
          <w:sz w:val="28"/>
          <w:szCs w:val="28"/>
        </w:rPr>
      </w:pPr>
      <w:r>
        <w:rPr>
          <w:rFonts w:hint="default" w:ascii="Times New Roman" w:hAnsi="Times New Roman" w:cs="Times New Roman"/>
          <w:color w:val="auto"/>
          <w:sz w:val="28"/>
          <w:szCs w:val="28"/>
        </w:rPr>
        <w:t>1、由于矿石性质或选矿工艺流程变更</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引起尾矿性质（粒度组成、粒径、比重、矿浆浓度等）的改变</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而这种改变如果对坝体稳定和防洪不利时</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自然会成为隐患；</w:t>
      </w:r>
    </w:p>
    <w:p w14:paraId="0D88A3D0">
      <w:pPr>
        <w:spacing w:line="600" w:lineRule="exact"/>
        <w:ind w:firstLine="548" w:firstLineChars="196"/>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2、因工农关系未协调好</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而产生的干扰常常造成尾矿库隐患。如农民在库区上游甚至于在库区以内乱采、滥挖等。</w:t>
      </w:r>
    </w:p>
    <w:p w14:paraId="66975C0F">
      <w:pPr>
        <w:pStyle w:val="4"/>
        <w:bidi w:val="0"/>
        <w:rPr>
          <w:rFonts w:hint="default" w:ascii="Times New Roman" w:hAnsi="Times New Roman" w:cs="Times New Roman"/>
          <w:color w:val="auto"/>
        </w:rPr>
      </w:pPr>
      <w:bookmarkStart w:id="117" w:name="_Toc289872681"/>
      <w:bookmarkStart w:id="118" w:name="_Toc289088989"/>
      <w:bookmarkStart w:id="119" w:name="_Toc25768"/>
      <w:r>
        <w:rPr>
          <w:rFonts w:hint="default" w:ascii="Times New Roman" w:hAnsi="Times New Roman" w:cs="Times New Roman"/>
          <w:color w:val="auto"/>
        </w:rPr>
        <w:t>3.3重大危险源</w:t>
      </w:r>
      <w:r>
        <w:rPr>
          <w:rFonts w:hint="eastAsia" w:cs="Times New Roman"/>
          <w:color w:val="auto"/>
          <w:lang w:val="en-US" w:eastAsia="zh-CN"/>
        </w:rPr>
        <w:t>与重大生产安全事故隐患</w:t>
      </w:r>
      <w:r>
        <w:rPr>
          <w:rFonts w:hint="default" w:ascii="Times New Roman" w:hAnsi="Times New Roman" w:cs="Times New Roman"/>
          <w:color w:val="auto"/>
        </w:rPr>
        <w:t>辩识</w:t>
      </w:r>
      <w:bookmarkEnd w:id="117"/>
      <w:bookmarkEnd w:id="118"/>
      <w:bookmarkEnd w:id="119"/>
    </w:p>
    <w:p w14:paraId="01B63733">
      <w:pPr>
        <w:spacing w:line="600" w:lineRule="exact"/>
        <w:ind w:firstLine="548" w:firstLineChars="196"/>
        <w:rPr>
          <w:rFonts w:hint="default" w:ascii="Times New Roman" w:hAnsi="Times New Roman" w:eastAsia="宋体" w:cs="Times New Roman"/>
          <w:color w:val="auto"/>
          <w:sz w:val="28"/>
          <w:szCs w:val="28"/>
          <w:lang w:val="en-US" w:eastAsia="zh-CN"/>
        </w:rPr>
      </w:pPr>
      <w:r>
        <w:rPr>
          <w:rFonts w:hint="default" w:ascii="Times New Roman" w:hAnsi="Times New Roman" w:cs="Times New Roman"/>
          <w:color w:val="auto"/>
          <w:sz w:val="28"/>
          <w:szCs w:val="28"/>
          <w:lang w:val="en-US" w:eastAsia="zh-CN"/>
        </w:rPr>
        <w:t>1.重大危险源辨识</w:t>
      </w:r>
    </w:p>
    <w:p w14:paraId="69278669">
      <w:pPr>
        <w:spacing w:line="600" w:lineRule="exact"/>
        <w:ind w:firstLine="548" w:firstLineChars="196"/>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关于开展重大危险源监督管理工作的指导意见》（安监管协调字〔2004〕56号）曾经将四等及以上的尾矿库纳入重大危险源进行监督管理。《国家安全监管总局关于宣布失效一批安全生产文件的通知》（安监总办〔2016〕13号）中</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已将《关于开展重大危险源监督管理工作的指导意见》宣布失效</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即取消了尾矿库进行重大危险源申报登记工作。依据《中华人民共和国安全生产法》和《危险化学品重大危险源辨识》</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“重大危险源</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是指长期地或者临时地生产、搬运、使用或者储存危险物品</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且危险物品的数量等于或者超过临界量的单元（包括场所和设施）”</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可知重大危险源主要针对的是危险物品</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故江西临川鲁金矿业有限公司茅排金矿庄前尾矿库不属于重大危险源范畴。但尾矿库是矿山企业重要的危险源</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是一个具有高势能的人造泥石流的危险源</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一旦失事</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将给下游造成严重损失。有尾矿库的企业仍应登记建档、定期检测、评估、监控</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并制定应急预案</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告知从业人员和相关人员在紧急情况下应当采取的应急措施</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并报应急部门备案。</w:t>
      </w:r>
    </w:p>
    <w:p w14:paraId="1994AFCF">
      <w:pPr>
        <w:keepNext w:val="0"/>
        <w:keepLines w:val="0"/>
        <w:pageBreakBefore w:val="0"/>
        <w:widowControl w:val="0"/>
        <w:tabs>
          <w:tab w:val="left" w:pos="6810"/>
        </w:tabs>
        <w:kinsoku/>
        <w:wordWrap/>
        <w:overflowPunct/>
        <w:topLinePunct w:val="0"/>
        <w:autoSpaceDE w:val="0"/>
        <w:autoSpaceDN w:val="0"/>
        <w:bidi w:val="0"/>
        <w:adjustRightInd w:val="0"/>
        <w:snapToGrid/>
        <w:spacing w:line="600" w:lineRule="exact"/>
        <w:ind w:firstLine="560" w:firstLineChars="200"/>
        <w:textAlignment w:val="auto"/>
        <w:outlineLvl w:val="9"/>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2.重大生产安全事故隐患识别</w:t>
      </w:r>
    </w:p>
    <w:p w14:paraId="0868BC13">
      <w:pPr>
        <w:keepNext w:val="0"/>
        <w:keepLines w:val="0"/>
        <w:pageBreakBefore w:val="0"/>
        <w:widowControl w:val="0"/>
        <w:tabs>
          <w:tab w:val="left" w:pos="6810"/>
        </w:tabs>
        <w:kinsoku/>
        <w:wordWrap/>
        <w:overflowPunct/>
        <w:topLinePunct w:val="0"/>
        <w:autoSpaceDE w:val="0"/>
        <w:autoSpaceDN w:val="0"/>
        <w:bidi w:val="0"/>
        <w:adjustRightInd w:val="0"/>
        <w:snapToGrid/>
        <w:spacing w:line="600" w:lineRule="exact"/>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bCs/>
          <w:color w:val="auto"/>
          <w:sz w:val="28"/>
          <w:szCs w:val="28"/>
        </w:rPr>
        <w:t>依据</w:t>
      </w:r>
      <w:r>
        <w:rPr>
          <w:rFonts w:hint="default" w:ascii="Times New Roman" w:hAnsi="Times New Roman" w:eastAsia="宋体" w:cs="Times New Roman"/>
          <w:color w:val="auto"/>
          <w:spacing w:val="-2"/>
          <w:sz w:val="28"/>
          <w:szCs w:val="28"/>
        </w:rPr>
        <w:t>《国家矿山安全监察局关于印发〈金属非金属矿山重大事故隐患判定标准〉的通知》</w:t>
      </w:r>
      <w:r>
        <w:rPr>
          <w:rFonts w:hint="eastAsia" w:ascii="Times New Roman" w:hAnsi="Times New Roman" w:cs="Times New Roman"/>
          <w:color w:val="auto"/>
          <w:spacing w:val="-2"/>
          <w:sz w:val="28"/>
          <w:szCs w:val="28"/>
          <w:lang w:eastAsia="zh-CN"/>
        </w:rPr>
        <w:t>、《国家矿山安全监察局关于印发〈金属非金属矿山重大事故隐患判定标准补充情形〉的通知》</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对</w:t>
      </w:r>
      <w:r>
        <w:rPr>
          <w:rFonts w:hint="default" w:ascii="Times New Roman" w:hAnsi="Times New Roman" w:eastAsia="宋体" w:cs="Times New Roman"/>
          <w:bCs/>
          <w:color w:val="auto"/>
          <w:sz w:val="28"/>
          <w:szCs w:val="28"/>
          <w:lang w:val="en-US" w:eastAsia="zh-CN"/>
        </w:rPr>
        <w:t>江西临川鲁金矿业有限公司茅排金矿庄前尾矿库</w:t>
      </w:r>
      <w:r>
        <w:rPr>
          <w:rFonts w:hint="default" w:ascii="Times New Roman" w:hAnsi="Times New Roman" w:eastAsia="宋体" w:cs="Times New Roman"/>
          <w:color w:val="auto"/>
          <w:sz w:val="28"/>
          <w:szCs w:val="28"/>
        </w:rPr>
        <w:t>进行重大事故隐患识别</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识别结果如下表：</w:t>
      </w:r>
    </w:p>
    <w:p w14:paraId="598B467D">
      <w:pPr>
        <w:keepNext w:val="0"/>
        <w:keepLines w:val="0"/>
        <w:pageBreakBefore w:val="0"/>
        <w:widowControl w:val="0"/>
        <w:tabs>
          <w:tab w:val="left" w:pos="6810"/>
        </w:tabs>
        <w:kinsoku/>
        <w:wordWrap/>
        <w:overflowPunct/>
        <w:topLinePunct w:val="0"/>
        <w:autoSpaceDE w:val="0"/>
        <w:autoSpaceDN w:val="0"/>
        <w:bidi w:val="0"/>
        <w:adjustRightInd w:val="0"/>
        <w:snapToGrid/>
        <w:spacing w:line="600" w:lineRule="exact"/>
        <w:jc w:val="both"/>
        <w:textAlignment w:val="auto"/>
        <w:rPr>
          <w:rFonts w:hint="default" w:ascii="Times New Roman" w:hAnsi="Times New Roman" w:eastAsia="宋体" w:cs="Times New Roman"/>
          <w:color w:val="auto"/>
          <w:sz w:val="21"/>
          <w:szCs w:val="21"/>
        </w:rPr>
      </w:pPr>
    </w:p>
    <w:p w14:paraId="0EF963A5">
      <w:pPr>
        <w:keepNext w:val="0"/>
        <w:keepLines w:val="0"/>
        <w:pageBreakBefore w:val="0"/>
        <w:widowControl w:val="0"/>
        <w:tabs>
          <w:tab w:val="left" w:pos="6810"/>
        </w:tabs>
        <w:kinsoku/>
        <w:wordWrap/>
        <w:overflowPunct/>
        <w:topLinePunct w:val="0"/>
        <w:autoSpaceDE w:val="0"/>
        <w:autoSpaceDN w:val="0"/>
        <w:bidi w:val="0"/>
        <w:adjustRightInd w:val="0"/>
        <w:snapToGrid/>
        <w:spacing w:line="6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w:t>
      </w:r>
      <w:r>
        <w:rPr>
          <w:rFonts w:hint="default" w:ascii="Times New Roman" w:hAnsi="Times New Roman" w:cs="Times New Roman"/>
          <w:color w:val="auto"/>
          <w:sz w:val="21"/>
          <w:szCs w:val="21"/>
          <w:lang w:val="en-US" w:eastAsia="zh-CN"/>
        </w:rPr>
        <w:t>3.3-1</w:t>
      </w:r>
      <w:r>
        <w:rPr>
          <w:rFonts w:hint="default" w:ascii="Times New Roman" w:hAnsi="Times New Roman" w:eastAsia="宋体" w:cs="Times New Roman"/>
          <w:bCs/>
          <w:color w:val="auto"/>
          <w:sz w:val="21"/>
          <w:szCs w:val="21"/>
          <w:lang w:val="en-US" w:eastAsia="zh-CN"/>
        </w:rPr>
        <w:t>江西临川鲁金矿业有限公司茅排金矿庄前尾矿库</w:t>
      </w:r>
      <w:r>
        <w:rPr>
          <w:rFonts w:hint="default" w:ascii="Times New Roman" w:hAnsi="Times New Roman" w:eastAsia="宋体" w:cs="Times New Roman"/>
          <w:color w:val="auto"/>
          <w:sz w:val="21"/>
          <w:szCs w:val="21"/>
        </w:rPr>
        <w:t>重大事故隐患识别情况表</w:t>
      </w:r>
    </w:p>
    <w:tbl>
      <w:tblPr>
        <w:tblStyle w:val="27"/>
        <w:tblW w:w="93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5"/>
        <w:gridCol w:w="4958"/>
        <w:gridCol w:w="2310"/>
        <w:gridCol w:w="998"/>
        <w:gridCol w:w="510"/>
      </w:tblGrid>
      <w:tr w14:paraId="5239CE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jc w:val="center"/>
        </w:trPr>
        <w:tc>
          <w:tcPr>
            <w:tcW w:w="565" w:type="dxa"/>
            <w:vAlign w:val="center"/>
          </w:tcPr>
          <w:p w14:paraId="4A793C7B">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snapToGrid w:val="0"/>
                <w:color w:val="auto"/>
                <w:kern w:val="0"/>
                <w:sz w:val="18"/>
                <w:szCs w:val="18"/>
                <w:lang w:val="en-US" w:eastAsia="zh-CN" w:bidi="ar"/>
              </w:rPr>
            </w:pPr>
            <w:r>
              <w:rPr>
                <w:rFonts w:hint="eastAsia" w:ascii="宋体" w:hAnsi="宋体" w:eastAsia="宋体" w:cs="宋体"/>
                <w:b/>
                <w:bCs/>
                <w:color w:val="auto"/>
                <w:kern w:val="0"/>
                <w:sz w:val="18"/>
                <w:szCs w:val="18"/>
                <w:lang w:val="en-US" w:eastAsia="zh-CN" w:bidi="ar"/>
              </w:rPr>
              <w:t>序号</w:t>
            </w:r>
          </w:p>
        </w:tc>
        <w:tc>
          <w:tcPr>
            <w:tcW w:w="4958" w:type="dxa"/>
            <w:vAlign w:val="center"/>
          </w:tcPr>
          <w:p w14:paraId="4CFDD91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snapToGrid w:val="0"/>
                <w:color w:val="auto"/>
                <w:kern w:val="0"/>
                <w:sz w:val="18"/>
                <w:szCs w:val="18"/>
                <w:lang w:val="en-US" w:eastAsia="zh-CN" w:bidi="ar"/>
              </w:rPr>
            </w:pPr>
            <w:r>
              <w:rPr>
                <w:rFonts w:hint="eastAsia" w:ascii="宋体" w:hAnsi="宋体" w:eastAsia="宋体" w:cs="宋体"/>
                <w:b/>
                <w:bCs/>
                <w:color w:val="auto"/>
                <w:kern w:val="0"/>
                <w:sz w:val="18"/>
                <w:szCs w:val="18"/>
                <w:lang w:val="en-US" w:eastAsia="zh-CN" w:bidi="ar"/>
              </w:rPr>
              <w:t>判定标准</w:t>
            </w:r>
          </w:p>
        </w:tc>
        <w:tc>
          <w:tcPr>
            <w:tcW w:w="2310" w:type="dxa"/>
            <w:vAlign w:val="center"/>
          </w:tcPr>
          <w:p w14:paraId="4DD0209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snapToGrid w:val="0"/>
                <w:color w:val="auto"/>
                <w:kern w:val="0"/>
                <w:sz w:val="18"/>
                <w:szCs w:val="18"/>
                <w:lang w:val="en-US" w:eastAsia="zh-CN" w:bidi="ar"/>
              </w:rPr>
            </w:pPr>
            <w:r>
              <w:rPr>
                <w:rFonts w:hint="eastAsia" w:ascii="宋体" w:hAnsi="宋体" w:eastAsia="宋体" w:cs="宋体"/>
                <w:b/>
                <w:bCs/>
                <w:color w:val="auto"/>
                <w:kern w:val="0"/>
                <w:sz w:val="18"/>
                <w:szCs w:val="18"/>
                <w:lang w:val="en-US" w:eastAsia="zh-CN" w:bidi="ar"/>
              </w:rPr>
              <w:t>判定情况</w:t>
            </w:r>
          </w:p>
        </w:tc>
        <w:tc>
          <w:tcPr>
            <w:tcW w:w="998" w:type="dxa"/>
            <w:vAlign w:val="center"/>
          </w:tcPr>
          <w:p w14:paraId="071F4A5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snapToGrid w:val="0"/>
                <w:color w:val="auto"/>
                <w:kern w:val="0"/>
                <w:sz w:val="18"/>
                <w:szCs w:val="18"/>
                <w:lang w:val="en-US" w:eastAsia="zh-CN" w:bidi="ar"/>
              </w:rPr>
            </w:pPr>
            <w:r>
              <w:rPr>
                <w:rFonts w:hint="eastAsia" w:ascii="宋体" w:hAnsi="宋体" w:eastAsia="宋体" w:cs="宋体"/>
                <w:b/>
                <w:bCs/>
                <w:color w:val="auto"/>
                <w:kern w:val="0"/>
                <w:sz w:val="18"/>
                <w:szCs w:val="18"/>
                <w:lang w:val="en-US" w:eastAsia="zh-CN" w:bidi="ar"/>
              </w:rPr>
              <w:t>判定结果</w:t>
            </w:r>
          </w:p>
        </w:tc>
        <w:tc>
          <w:tcPr>
            <w:tcW w:w="510" w:type="dxa"/>
            <w:vAlign w:val="center"/>
          </w:tcPr>
          <w:p w14:paraId="38ECA17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snapToGrid w:val="0"/>
                <w:color w:val="auto"/>
                <w:kern w:val="0"/>
                <w:sz w:val="18"/>
                <w:szCs w:val="18"/>
                <w:lang w:val="en-US" w:eastAsia="zh-CN" w:bidi="ar"/>
              </w:rPr>
            </w:pPr>
            <w:r>
              <w:rPr>
                <w:rFonts w:hint="eastAsia" w:ascii="宋体" w:hAnsi="宋体" w:eastAsia="宋体" w:cs="宋体"/>
                <w:b/>
                <w:bCs/>
                <w:color w:val="auto"/>
                <w:kern w:val="0"/>
                <w:sz w:val="18"/>
                <w:szCs w:val="18"/>
                <w:lang w:val="en-US" w:eastAsia="zh-CN" w:bidi="ar"/>
              </w:rPr>
              <w:t>备注</w:t>
            </w:r>
          </w:p>
        </w:tc>
      </w:tr>
      <w:tr w14:paraId="4B248D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jc w:val="center"/>
        </w:trPr>
        <w:tc>
          <w:tcPr>
            <w:tcW w:w="565" w:type="dxa"/>
            <w:vAlign w:val="center"/>
          </w:tcPr>
          <w:p w14:paraId="0668633A">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color w:val="auto"/>
                <w:kern w:val="0"/>
                <w:sz w:val="18"/>
                <w:szCs w:val="18"/>
                <w:lang w:val="en-US" w:eastAsia="zh-CN" w:bidi="ar"/>
              </w:rPr>
              <w:t>1</w:t>
            </w:r>
          </w:p>
        </w:tc>
        <w:tc>
          <w:tcPr>
            <w:tcW w:w="4958" w:type="dxa"/>
            <w:vAlign w:val="top"/>
          </w:tcPr>
          <w:p w14:paraId="6D148107">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color w:val="auto"/>
                <w:kern w:val="0"/>
                <w:sz w:val="18"/>
                <w:szCs w:val="18"/>
                <w:lang w:val="en-US" w:eastAsia="zh-CN" w:bidi="ar"/>
              </w:rPr>
              <w:t xml:space="preserve">库区或者尾矿坝上存在未按设计进行开采、挖掘、爆破等危及尾矿库安全的活动。 </w:t>
            </w:r>
          </w:p>
        </w:tc>
        <w:tc>
          <w:tcPr>
            <w:tcW w:w="2310" w:type="dxa"/>
            <w:vAlign w:val="center"/>
          </w:tcPr>
          <w:p w14:paraId="5EE02C1D">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default" w:ascii="宋体" w:hAnsi="宋体" w:eastAsia="宋体" w:cs="宋体"/>
                <w:snapToGrid w:val="0"/>
                <w:color w:val="auto"/>
                <w:kern w:val="0"/>
                <w:sz w:val="18"/>
                <w:szCs w:val="18"/>
                <w:lang w:val="en-US" w:eastAsia="zh-CN" w:bidi="ar"/>
              </w:rPr>
            </w:pPr>
            <w:r>
              <w:rPr>
                <w:rFonts w:hint="eastAsia" w:ascii="宋体" w:hAnsi="宋体" w:eastAsia="宋体" w:cs="宋体"/>
                <w:color w:val="auto"/>
                <w:kern w:val="0"/>
                <w:sz w:val="18"/>
                <w:szCs w:val="18"/>
                <w:lang w:val="en-US" w:eastAsia="zh-CN" w:bidi="ar"/>
              </w:rPr>
              <w:t>无此项</w:t>
            </w:r>
          </w:p>
        </w:tc>
        <w:tc>
          <w:tcPr>
            <w:tcW w:w="998" w:type="dxa"/>
            <w:vAlign w:val="center"/>
          </w:tcPr>
          <w:p w14:paraId="7E9982CC">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snapToGrid w:val="0"/>
                <w:color w:val="auto"/>
                <w:spacing w:val="7"/>
                <w:kern w:val="0"/>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3D0C8E05">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4D87AF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jc w:val="center"/>
        </w:trPr>
        <w:tc>
          <w:tcPr>
            <w:tcW w:w="565" w:type="dxa"/>
            <w:vAlign w:val="center"/>
          </w:tcPr>
          <w:p w14:paraId="2E9687EB">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snapToGrid w:val="0"/>
                <w:color w:val="auto"/>
                <w:kern w:val="0"/>
                <w:sz w:val="18"/>
                <w:szCs w:val="18"/>
                <w:lang w:val="en-US" w:eastAsia="zh-CN" w:bidi="ar"/>
              </w:rPr>
            </w:pPr>
            <w:r>
              <w:rPr>
                <w:rFonts w:hint="eastAsia" w:ascii="宋体" w:hAnsi="宋体" w:eastAsia="宋体" w:cs="宋体"/>
                <w:color w:val="auto"/>
                <w:kern w:val="0"/>
                <w:sz w:val="18"/>
                <w:szCs w:val="18"/>
                <w:lang w:val="en-US" w:eastAsia="zh-CN" w:bidi="ar"/>
              </w:rPr>
              <w:t>2</w:t>
            </w:r>
          </w:p>
        </w:tc>
        <w:tc>
          <w:tcPr>
            <w:tcW w:w="4958" w:type="dxa"/>
            <w:vAlign w:val="top"/>
          </w:tcPr>
          <w:p w14:paraId="1E101769">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color w:val="auto"/>
                <w:kern w:val="0"/>
                <w:sz w:val="18"/>
                <w:szCs w:val="18"/>
                <w:lang w:val="en-US" w:eastAsia="zh-CN" w:bidi="ar"/>
              </w:rPr>
              <w:t xml:space="preserve">坝体存在下列情形之一的：1.坝体出现严重的管涌、流土变形等现象；2.坝体出现贯穿性裂缝、坍塌、滑动迹象；3.坝体出现大面积纵向裂缝，且出现较大范围渗透水高位出逸或者大面积沼泽化。 </w:t>
            </w:r>
          </w:p>
        </w:tc>
        <w:tc>
          <w:tcPr>
            <w:tcW w:w="2310" w:type="dxa"/>
            <w:vAlign w:val="top"/>
          </w:tcPr>
          <w:p w14:paraId="416479E5">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default" w:ascii="宋体" w:hAnsi="宋体" w:eastAsia="宋体" w:cs="宋体"/>
                <w:snapToGrid w:val="0"/>
                <w:color w:val="auto"/>
                <w:kern w:val="0"/>
                <w:sz w:val="18"/>
                <w:szCs w:val="18"/>
                <w:lang w:val="en-US" w:eastAsia="zh-CN" w:bidi="ar"/>
              </w:rPr>
            </w:pPr>
            <w:r>
              <w:rPr>
                <w:rFonts w:hint="eastAsia" w:ascii="宋体" w:hAnsi="宋体" w:eastAsia="宋体" w:cs="宋体"/>
                <w:color w:val="auto"/>
                <w:spacing w:val="0"/>
                <w:sz w:val="18"/>
                <w:szCs w:val="18"/>
                <w:lang w:val="en-US" w:eastAsia="zh-CN" w:bidi="ar"/>
              </w:rPr>
              <w:t>经现场勘查坝体未见严重管涌、流土变形、</w:t>
            </w:r>
            <w:r>
              <w:rPr>
                <w:rFonts w:hint="eastAsia" w:ascii="宋体" w:hAnsi="宋体" w:eastAsia="宋体" w:cs="宋体"/>
                <w:color w:val="auto"/>
                <w:kern w:val="0"/>
                <w:sz w:val="18"/>
                <w:szCs w:val="18"/>
                <w:lang w:val="en-US" w:eastAsia="zh-CN" w:bidi="ar"/>
              </w:rPr>
              <w:t>贯穿性裂缝、坍塌、滑动及大面积纵向裂缝</w:t>
            </w:r>
            <w:r>
              <w:rPr>
                <w:rFonts w:hint="eastAsia" w:ascii="宋体" w:hAnsi="宋体" w:eastAsia="宋体" w:cs="宋体"/>
                <w:color w:val="auto"/>
                <w:spacing w:val="0"/>
                <w:sz w:val="18"/>
                <w:szCs w:val="18"/>
                <w:lang w:val="en-US" w:eastAsia="zh-CN" w:bidi="ar"/>
              </w:rPr>
              <w:t>等现象。</w:t>
            </w:r>
          </w:p>
        </w:tc>
        <w:tc>
          <w:tcPr>
            <w:tcW w:w="998" w:type="dxa"/>
            <w:vAlign w:val="top"/>
          </w:tcPr>
          <w:p w14:paraId="77DEA62E">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snapToGrid w:val="0"/>
                <w:color w:val="auto"/>
                <w:spacing w:val="7"/>
                <w:kern w:val="0"/>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2DDC19B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70CC90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 w:hRule="atLeast"/>
          <w:jc w:val="center"/>
        </w:trPr>
        <w:tc>
          <w:tcPr>
            <w:tcW w:w="565" w:type="dxa"/>
            <w:vAlign w:val="center"/>
          </w:tcPr>
          <w:p w14:paraId="1DDAD8E2">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3</w:t>
            </w:r>
          </w:p>
        </w:tc>
        <w:tc>
          <w:tcPr>
            <w:tcW w:w="4958" w:type="dxa"/>
            <w:vAlign w:val="top"/>
          </w:tcPr>
          <w:p w14:paraId="59000747">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坝体的平均外坡比或者堆积子坝的外坡比陡于设计坡比。</w:t>
            </w:r>
          </w:p>
        </w:tc>
        <w:tc>
          <w:tcPr>
            <w:tcW w:w="2310" w:type="dxa"/>
            <w:vAlign w:val="top"/>
          </w:tcPr>
          <w:p w14:paraId="4E8A826F">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default" w:ascii="Times New Roman" w:hAnsi="Times New Roman" w:eastAsia="宋体" w:cs="Times New Roman"/>
                <w:snapToGrid w:val="0"/>
                <w:color w:val="auto"/>
                <w:kern w:val="0"/>
                <w:sz w:val="18"/>
                <w:szCs w:val="18"/>
                <w:lang w:val="en-US" w:eastAsia="zh-CN" w:bidi="ar"/>
              </w:rPr>
            </w:pPr>
            <w:r>
              <w:rPr>
                <w:rFonts w:hint="default" w:ascii="Times New Roman" w:hAnsi="Times New Roman" w:eastAsia="宋体" w:cs="Times New Roman"/>
                <w:color w:val="auto"/>
                <w:spacing w:val="0"/>
                <w:sz w:val="18"/>
                <w:szCs w:val="18"/>
                <w:lang w:val="en-US" w:eastAsia="zh-CN" w:bidi="ar"/>
              </w:rPr>
              <w:t>尾矿坝上游坡比为 1:1.89，尾矿坝下游坡比为 1:2.25，满足设计要求。</w:t>
            </w:r>
          </w:p>
        </w:tc>
        <w:tc>
          <w:tcPr>
            <w:tcW w:w="998" w:type="dxa"/>
            <w:vAlign w:val="top"/>
          </w:tcPr>
          <w:p w14:paraId="2C8AEBBD">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snapToGrid w:val="0"/>
                <w:color w:val="auto"/>
                <w:spacing w:val="7"/>
                <w:kern w:val="0"/>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5C3900F4">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13FDF3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565" w:type="dxa"/>
            <w:vAlign w:val="center"/>
          </w:tcPr>
          <w:p w14:paraId="6A615E37">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4</w:t>
            </w:r>
          </w:p>
        </w:tc>
        <w:tc>
          <w:tcPr>
            <w:tcW w:w="4958" w:type="dxa"/>
            <w:vAlign w:val="top"/>
          </w:tcPr>
          <w:p w14:paraId="1071349E">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坝体高度超过设计总坝高，或者尾矿库超过设计库容贮存尾矿。</w:t>
            </w:r>
          </w:p>
        </w:tc>
        <w:tc>
          <w:tcPr>
            <w:tcW w:w="2310" w:type="dxa"/>
            <w:vAlign w:val="top"/>
          </w:tcPr>
          <w:p w14:paraId="72F01599">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b w:val="0"/>
                <w:bCs w:val="0"/>
                <w:color w:val="auto"/>
                <w:kern w:val="0"/>
                <w:sz w:val="18"/>
                <w:szCs w:val="18"/>
                <w:lang w:val="en-US" w:eastAsia="zh-CN" w:bidi="ar"/>
              </w:rPr>
              <w:t>尾矿坝坝高21.0m，</w:t>
            </w:r>
            <w:r>
              <w:rPr>
                <w:rFonts w:hint="default" w:ascii="Times New Roman" w:hAnsi="Times New Roman" w:eastAsia="宋体" w:cs="Times New Roman"/>
                <w:color w:val="auto"/>
                <w:kern w:val="0"/>
                <w:sz w:val="18"/>
                <w:szCs w:val="18"/>
                <w:lang w:val="en-US" w:eastAsia="zh-CN" w:bidi="ar"/>
              </w:rPr>
              <w:t>总库容为 12.02×10</w:t>
            </w:r>
            <w:r>
              <w:rPr>
                <w:rFonts w:hint="default" w:ascii="Times New Roman" w:hAnsi="Times New Roman" w:eastAsia="宋体" w:cs="Times New Roman"/>
                <w:color w:val="auto"/>
                <w:kern w:val="0"/>
                <w:sz w:val="18"/>
                <w:szCs w:val="18"/>
                <w:vertAlign w:val="superscript"/>
                <w:lang w:val="en-US" w:eastAsia="zh-CN" w:bidi="ar"/>
              </w:rPr>
              <w:t>4</w:t>
            </w:r>
            <w:r>
              <w:rPr>
                <w:rFonts w:hint="default" w:ascii="Times New Roman" w:hAnsi="Times New Roman" w:eastAsia="宋体" w:cs="Times New Roman"/>
                <w:color w:val="auto"/>
                <w:kern w:val="0"/>
                <w:sz w:val="21"/>
                <w:szCs w:val="21"/>
                <w:lang w:val="en-US" w:eastAsia="zh-CN" w:bidi="ar"/>
              </w:rPr>
              <w:t>m³</w:t>
            </w:r>
            <w:r>
              <w:rPr>
                <w:rFonts w:hint="eastAsia" w:ascii="Times New Roman" w:hAnsi="Times New Roman" w:cs="Times New Roman"/>
                <w:color w:val="auto"/>
                <w:kern w:val="0"/>
                <w:sz w:val="21"/>
                <w:szCs w:val="21"/>
                <w:lang w:val="en-US" w:eastAsia="zh-CN" w:bidi="ar"/>
              </w:rPr>
              <w:t>，</w:t>
            </w:r>
            <w:r>
              <w:rPr>
                <w:rFonts w:hint="default" w:ascii="Times New Roman" w:hAnsi="Times New Roman" w:eastAsia="宋体" w:cs="Times New Roman"/>
                <w:color w:val="auto"/>
                <w:spacing w:val="0"/>
                <w:sz w:val="18"/>
                <w:szCs w:val="18"/>
                <w:lang w:val="en-US" w:eastAsia="zh-CN"/>
              </w:rPr>
              <w:t>符合设计要求。</w:t>
            </w:r>
          </w:p>
        </w:tc>
        <w:tc>
          <w:tcPr>
            <w:tcW w:w="998" w:type="dxa"/>
            <w:vAlign w:val="top"/>
          </w:tcPr>
          <w:p w14:paraId="7EBD536D">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3967AECD">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2B37B9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jc w:val="center"/>
        </w:trPr>
        <w:tc>
          <w:tcPr>
            <w:tcW w:w="565" w:type="dxa"/>
            <w:vAlign w:val="center"/>
          </w:tcPr>
          <w:p w14:paraId="23C29B87">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5</w:t>
            </w:r>
          </w:p>
        </w:tc>
        <w:tc>
          <w:tcPr>
            <w:tcW w:w="4958" w:type="dxa"/>
            <w:vAlign w:val="top"/>
          </w:tcPr>
          <w:p w14:paraId="65349E88">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尾矿堆积坝上升速率大于设计堆积上升速率。</w:t>
            </w:r>
          </w:p>
        </w:tc>
        <w:tc>
          <w:tcPr>
            <w:tcW w:w="2310" w:type="dxa"/>
            <w:vAlign w:val="top"/>
          </w:tcPr>
          <w:p w14:paraId="044DEBE3">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尾矿坝采用一次性筑坝。</w:t>
            </w:r>
          </w:p>
        </w:tc>
        <w:tc>
          <w:tcPr>
            <w:tcW w:w="998" w:type="dxa"/>
            <w:vAlign w:val="top"/>
          </w:tcPr>
          <w:p w14:paraId="3CC00754">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47279D9D">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7B580C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jc w:val="center"/>
        </w:trPr>
        <w:tc>
          <w:tcPr>
            <w:tcW w:w="565" w:type="dxa"/>
            <w:vAlign w:val="center"/>
          </w:tcPr>
          <w:p w14:paraId="51171156">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6</w:t>
            </w:r>
          </w:p>
        </w:tc>
        <w:tc>
          <w:tcPr>
            <w:tcW w:w="4958" w:type="dxa"/>
            <w:vAlign w:val="top"/>
          </w:tcPr>
          <w:p w14:paraId="44095B74">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采用尾矿堆坝的尾矿库，未按《尾矿库安全规程》（GB39496-2020）第 6.1.9 条规定对尾矿坝做全面的安全性复核。</w:t>
            </w:r>
          </w:p>
        </w:tc>
        <w:tc>
          <w:tcPr>
            <w:tcW w:w="2310" w:type="dxa"/>
            <w:vAlign w:val="top"/>
          </w:tcPr>
          <w:p w14:paraId="089AB600">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无此项</w:t>
            </w:r>
          </w:p>
        </w:tc>
        <w:tc>
          <w:tcPr>
            <w:tcW w:w="998" w:type="dxa"/>
            <w:vAlign w:val="top"/>
          </w:tcPr>
          <w:p w14:paraId="2175FBC8">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2FB76D8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482B30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jc w:val="center"/>
        </w:trPr>
        <w:tc>
          <w:tcPr>
            <w:tcW w:w="565" w:type="dxa"/>
            <w:vAlign w:val="center"/>
          </w:tcPr>
          <w:p w14:paraId="222A84C2">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7</w:t>
            </w:r>
          </w:p>
        </w:tc>
        <w:tc>
          <w:tcPr>
            <w:tcW w:w="4958" w:type="dxa"/>
            <w:vAlign w:val="top"/>
          </w:tcPr>
          <w:p w14:paraId="0039BBB8">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 xml:space="preserve">浸润线埋深小于控制浸润线埋深。 </w:t>
            </w:r>
          </w:p>
        </w:tc>
        <w:tc>
          <w:tcPr>
            <w:tcW w:w="2310" w:type="dxa"/>
            <w:vAlign w:val="top"/>
          </w:tcPr>
          <w:p w14:paraId="3E308007">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无此项</w:t>
            </w:r>
          </w:p>
        </w:tc>
        <w:tc>
          <w:tcPr>
            <w:tcW w:w="998" w:type="dxa"/>
            <w:vAlign w:val="top"/>
          </w:tcPr>
          <w:p w14:paraId="6E9BFB91">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186C1C98">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09B2CA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jc w:val="center"/>
        </w:trPr>
        <w:tc>
          <w:tcPr>
            <w:tcW w:w="565" w:type="dxa"/>
            <w:vAlign w:val="center"/>
          </w:tcPr>
          <w:p w14:paraId="5E6738CF">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8</w:t>
            </w:r>
          </w:p>
        </w:tc>
        <w:tc>
          <w:tcPr>
            <w:tcW w:w="4958" w:type="dxa"/>
            <w:vAlign w:val="top"/>
          </w:tcPr>
          <w:p w14:paraId="592BA93E">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汛前未按国家有关规定对尾矿库进行调洪演算，或者湿式尾矿库防洪高度和干滩长度小于设计值，或者干式尾矿库防洪高度和防洪宽度小于设计值。</w:t>
            </w:r>
          </w:p>
        </w:tc>
        <w:tc>
          <w:tcPr>
            <w:tcW w:w="2310" w:type="dxa"/>
            <w:vAlign w:val="center"/>
          </w:tcPr>
          <w:p w14:paraId="6D69ED05">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已做调洪演算</w:t>
            </w:r>
            <w:r>
              <w:rPr>
                <w:rFonts w:hint="eastAsia" w:ascii="宋体" w:hAnsi="宋体" w:cs="宋体"/>
                <w:color w:val="auto"/>
                <w:kern w:val="0"/>
                <w:sz w:val="18"/>
                <w:szCs w:val="18"/>
                <w:lang w:val="en-US" w:eastAsia="zh-CN" w:bidi="ar"/>
              </w:rPr>
              <w:t>。</w:t>
            </w:r>
          </w:p>
        </w:tc>
        <w:tc>
          <w:tcPr>
            <w:tcW w:w="998" w:type="dxa"/>
            <w:vAlign w:val="center"/>
          </w:tcPr>
          <w:p w14:paraId="75E4BD44">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390B3DFC">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52019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jc w:val="center"/>
        </w:trPr>
        <w:tc>
          <w:tcPr>
            <w:tcW w:w="565" w:type="dxa"/>
            <w:vAlign w:val="center"/>
          </w:tcPr>
          <w:p w14:paraId="4DFBA862">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9</w:t>
            </w:r>
          </w:p>
        </w:tc>
        <w:tc>
          <w:tcPr>
            <w:tcW w:w="4958" w:type="dxa"/>
            <w:vAlign w:val="top"/>
          </w:tcPr>
          <w:p w14:paraId="783B677D">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排洪系统存在下列情形之一的：1.排水井、排水斜槽、排水管、排水隧洞、拱板、盖板等排洪建构筑物混凝土厚度、强度或者型式不满足设计要求；2.排洪设施部分堵塞或者坍塌、排水井有所倾斜，排水能力有所降低，达不到设计要求；3.排洪构筑物终止使用时，封堵措施不满足设计要求。</w:t>
            </w:r>
          </w:p>
        </w:tc>
        <w:tc>
          <w:tcPr>
            <w:tcW w:w="2310" w:type="dxa"/>
            <w:vAlign w:val="center"/>
          </w:tcPr>
          <w:p w14:paraId="2ABAA852">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left"/>
              <w:textAlignment w:val="auto"/>
              <w:rPr>
                <w:rFonts w:hint="default"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排水斜槽、</w:t>
            </w:r>
            <w:r>
              <w:rPr>
                <w:rFonts w:hint="eastAsia" w:ascii="宋体" w:hAnsi="宋体" w:eastAsia="宋体" w:cs="宋体"/>
                <w:color w:val="auto"/>
                <w:kern w:val="0"/>
                <w:sz w:val="18"/>
                <w:szCs w:val="18"/>
                <w:lang w:val="en-US" w:eastAsia="zh-CN" w:bidi="ar"/>
              </w:rPr>
              <w:t>溢洪道符合设计要求。</w:t>
            </w:r>
          </w:p>
        </w:tc>
        <w:tc>
          <w:tcPr>
            <w:tcW w:w="998" w:type="dxa"/>
            <w:vAlign w:val="center"/>
          </w:tcPr>
          <w:p w14:paraId="64654088">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2BFA63E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252BC0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jc w:val="center"/>
        </w:trPr>
        <w:tc>
          <w:tcPr>
            <w:tcW w:w="565" w:type="dxa"/>
            <w:vAlign w:val="center"/>
          </w:tcPr>
          <w:p w14:paraId="573EB2BE">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10</w:t>
            </w:r>
          </w:p>
        </w:tc>
        <w:tc>
          <w:tcPr>
            <w:tcW w:w="4958" w:type="dxa"/>
            <w:vAlign w:val="top"/>
          </w:tcPr>
          <w:p w14:paraId="54591158">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设计以外的尾矿、废料或者废水进库。</w:t>
            </w:r>
          </w:p>
        </w:tc>
        <w:tc>
          <w:tcPr>
            <w:tcW w:w="2310" w:type="dxa"/>
            <w:vAlign w:val="top"/>
          </w:tcPr>
          <w:p w14:paraId="32528C41">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无此项</w:t>
            </w:r>
          </w:p>
        </w:tc>
        <w:tc>
          <w:tcPr>
            <w:tcW w:w="998" w:type="dxa"/>
            <w:vAlign w:val="top"/>
          </w:tcPr>
          <w:p w14:paraId="59306972">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04161DEC">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0F026B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jc w:val="center"/>
        </w:trPr>
        <w:tc>
          <w:tcPr>
            <w:tcW w:w="565" w:type="dxa"/>
            <w:vAlign w:val="center"/>
          </w:tcPr>
          <w:p w14:paraId="091D128D">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11</w:t>
            </w:r>
          </w:p>
        </w:tc>
        <w:tc>
          <w:tcPr>
            <w:tcW w:w="4958" w:type="dxa"/>
            <w:vAlign w:val="top"/>
          </w:tcPr>
          <w:p w14:paraId="3DEB47C4">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多种矿石性质不同的尾砂混合排放时，未按设计进行排放。</w:t>
            </w:r>
          </w:p>
        </w:tc>
        <w:tc>
          <w:tcPr>
            <w:tcW w:w="2310" w:type="dxa"/>
            <w:vAlign w:val="top"/>
          </w:tcPr>
          <w:p w14:paraId="6B606731">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无此项</w:t>
            </w:r>
          </w:p>
        </w:tc>
        <w:tc>
          <w:tcPr>
            <w:tcW w:w="998" w:type="dxa"/>
            <w:vAlign w:val="top"/>
          </w:tcPr>
          <w:p w14:paraId="4AB484F4">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2841997F">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55E07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jc w:val="center"/>
        </w:trPr>
        <w:tc>
          <w:tcPr>
            <w:tcW w:w="565" w:type="dxa"/>
            <w:vAlign w:val="center"/>
          </w:tcPr>
          <w:p w14:paraId="69361467">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12</w:t>
            </w:r>
          </w:p>
        </w:tc>
        <w:tc>
          <w:tcPr>
            <w:tcW w:w="4958" w:type="dxa"/>
            <w:vAlign w:val="top"/>
          </w:tcPr>
          <w:p w14:paraId="27E0EDF4">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冬季未按设计要求的冰下放矿方式进行放矿作业。</w:t>
            </w:r>
          </w:p>
        </w:tc>
        <w:tc>
          <w:tcPr>
            <w:tcW w:w="2310" w:type="dxa"/>
            <w:vAlign w:val="top"/>
          </w:tcPr>
          <w:p w14:paraId="2D9420E6">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无此项</w:t>
            </w:r>
          </w:p>
        </w:tc>
        <w:tc>
          <w:tcPr>
            <w:tcW w:w="998" w:type="dxa"/>
            <w:vAlign w:val="top"/>
          </w:tcPr>
          <w:p w14:paraId="0835776A">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60E0990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605ECE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jc w:val="center"/>
        </w:trPr>
        <w:tc>
          <w:tcPr>
            <w:tcW w:w="565" w:type="dxa"/>
            <w:vAlign w:val="center"/>
          </w:tcPr>
          <w:p w14:paraId="27795752">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13</w:t>
            </w:r>
          </w:p>
        </w:tc>
        <w:tc>
          <w:tcPr>
            <w:tcW w:w="4958" w:type="dxa"/>
            <w:vAlign w:val="top"/>
          </w:tcPr>
          <w:p w14:paraId="5C337C42">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安全监测系统存在下列情形之一的：1.未按设计设置安全监测系统；2.安全监测系统运行不正常未及时修复；3.关闭、破坏安全监测系统，或者篡改、隐瞒、销毁其相关数据、信息。</w:t>
            </w:r>
          </w:p>
        </w:tc>
        <w:tc>
          <w:tcPr>
            <w:tcW w:w="2310" w:type="dxa"/>
            <w:vAlign w:val="top"/>
          </w:tcPr>
          <w:p w14:paraId="62B9363B">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已安装了在线监测系统，</w:t>
            </w:r>
            <w:r>
              <w:rPr>
                <w:rFonts w:hint="eastAsia" w:ascii="宋体" w:hAnsi="宋体" w:cs="宋体"/>
                <w:b w:val="0"/>
                <w:bCs w:val="0"/>
                <w:color w:val="auto"/>
                <w:kern w:val="0"/>
                <w:sz w:val="18"/>
                <w:szCs w:val="18"/>
                <w:lang w:val="en-US" w:eastAsia="zh-CN" w:bidi="ar"/>
              </w:rPr>
              <w:t>运行正常，</w:t>
            </w:r>
            <w:r>
              <w:rPr>
                <w:rFonts w:hint="eastAsia" w:ascii="宋体" w:hAnsi="宋体" w:eastAsia="宋体" w:cs="宋体"/>
                <w:b w:val="0"/>
                <w:bCs w:val="0"/>
                <w:color w:val="auto"/>
                <w:kern w:val="0"/>
                <w:sz w:val="18"/>
                <w:szCs w:val="18"/>
                <w:lang w:val="en-US" w:eastAsia="zh-CN" w:bidi="ar"/>
              </w:rPr>
              <w:t>并与江西省非煤矿矿山安全生产风险监测预警系统对接。</w:t>
            </w:r>
          </w:p>
        </w:tc>
        <w:tc>
          <w:tcPr>
            <w:tcW w:w="998" w:type="dxa"/>
            <w:vAlign w:val="top"/>
          </w:tcPr>
          <w:p w14:paraId="65E52822">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71EC9353">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06B042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jc w:val="center"/>
        </w:trPr>
        <w:tc>
          <w:tcPr>
            <w:tcW w:w="565" w:type="dxa"/>
            <w:vAlign w:val="center"/>
          </w:tcPr>
          <w:p w14:paraId="6853B107">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14</w:t>
            </w:r>
          </w:p>
        </w:tc>
        <w:tc>
          <w:tcPr>
            <w:tcW w:w="4958" w:type="dxa"/>
            <w:vAlign w:val="top"/>
          </w:tcPr>
          <w:p w14:paraId="6AAB7115">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干式尾矿库存在下列情形之一的：1.入库尾矿的含水率大于设计值，无法进行正常碾压且未设置可靠的防范措施；2.堆存推进方向与设计不一致；3.分层厚度或者台阶高度大于设计值；4.未按设计要求进行碾压。</w:t>
            </w:r>
          </w:p>
        </w:tc>
        <w:tc>
          <w:tcPr>
            <w:tcW w:w="2310" w:type="dxa"/>
            <w:vAlign w:val="center"/>
          </w:tcPr>
          <w:p w14:paraId="56A89E47">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eastAsia"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无此项</w:t>
            </w:r>
          </w:p>
        </w:tc>
        <w:tc>
          <w:tcPr>
            <w:tcW w:w="998" w:type="dxa"/>
            <w:vAlign w:val="center"/>
          </w:tcPr>
          <w:p w14:paraId="79EBAE9F">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6954F5C9">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130D2F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jc w:val="center"/>
        </w:trPr>
        <w:tc>
          <w:tcPr>
            <w:tcW w:w="565" w:type="dxa"/>
            <w:vAlign w:val="center"/>
          </w:tcPr>
          <w:p w14:paraId="2564B92D">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15</w:t>
            </w:r>
          </w:p>
        </w:tc>
        <w:tc>
          <w:tcPr>
            <w:tcW w:w="4958" w:type="dxa"/>
            <w:vAlign w:val="top"/>
          </w:tcPr>
          <w:p w14:paraId="6D8C8FA4">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经验算，坝体抗滑稳定最小安全系数小于国家标准规定值的 0.98 倍。</w:t>
            </w:r>
          </w:p>
        </w:tc>
        <w:tc>
          <w:tcPr>
            <w:tcW w:w="2310" w:type="dxa"/>
            <w:vAlign w:val="top"/>
          </w:tcPr>
          <w:p w14:paraId="1133831A">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符合</w:t>
            </w:r>
          </w:p>
        </w:tc>
        <w:tc>
          <w:tcPr>
            <w:tcW w:w="998" w:type="dxa"/>
            <w:vAlign w:val="top"/>
          </w:tcPr>
          <w:p w14:paraId="35D37451">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6B46CA65">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18D358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jc w:val="center"/>
        </w:trPr>
        <w:tc>
          <w:tcPr>
            <w:tcW w:w="565" w:type="dxa"/>
            <w:vAlign w:val="center"/>
          </w:tcPr>
          <w:p w14:paraId="73BDBEAF">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snapToGrid w:val="0"/>
                <w:color w:val="auto"/>
                <w:kern w:val="0"/>
                <w:sz w:val="18"/>
                <w:szCs w:val="18"/>
                <w:lang w:val="en-US" w:eastAsia="zh-CN" w:bidi="ar"/>
              </w:rPr>
              <w:t>16</w:t>
            </w:r>
          </w:p>
        </w:tc>
        <w:tc>
          <w:tcPr>
            <w:tcW w:w="4958" w:type="dxa"/>
            <w:vAlign w:val="top"/>
          </w:tcPr>
          <w:p w14:paraId="28496F1E">
            <w:pPr>
              <w:keepNext w:val="0"/>
              <w:keepLines w:val="0"/>
              <w:pageBreakBefore w:val="0"/>
              <w:widowControl/>
              <w:suppressLineNumbers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三等及以上尾矿库及“头顶库”未按设计设置通往坝顶、排洪系统附近的应急道路，或者应急道路无法满足应急抢险时通行和运送应急物资的需求。</w:t>
            </w:r>
          </w:p>
        </w:tc>
        <w:tc>
          <w:tcPr>
            <w:tcW w:w="2310" w:type="dxa"/>
            <w:vAlign w:val="center"/>
          </w:tcPr>
          <w:p w14:paraId="2E08A665">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default" w:ascii="宋体" w:hAnsi="宋体" w:eastAsia="宋体" w:cs="宋体"/>
                <w:snapToGrid w:val="0"/>
                <w:color w:val="auto"/>
                <w:kern w:val="0"/>
                <w:sz w:val="18"/>
                <w:szCs w:val="18"/>
                <w:lang w:val="en-US" w:eastAsia="zh-CN" w:bidi="ar"/>
              </w:rPr>
            </w:pPr>
            <w:r>
              <w:rPr>
                <w:rFonts w:hint="eastAsia" w:ascii="宋体" w:hAnsi="宋体" w:eastAsia="宋体" w:cs="宋体"/>
                <w:snapToGrid w:val="0"/>
                <w:color w:val="auto"/>
                <w:kern w:val="0"/>
                <w:sz w:val="18"/>
                <w:szCs w:val="18"/>
                <w:lang w:val="en-US" w:eastAsia="zh-CN" w:bidi="ar"/>
              </w:rPr>
              <w:t>有应急道路</w:t>
            </w:r>
          </w:p>
        </w:tc>
        <w:tc>
          <w:tcPr>
            <w:tcW w:w="998" w:type="dxa"/>
            <w:vAlign w:val="center"/>
          </w:tcPr>
          <w:p w14:paraId="2EA8D747">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snapToGrid w:val="0"/>
                <w:color w:val="auto"/>
                <w:spacing w:val="7"/>
                <w:kern w:val="0"/>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585FFE19">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2DD4F8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jc w:val="center"/>
        </w:trPr>
        <w:tc>
          <w:tcPr>
            <w:tcW w:w="565" w:type="dxa"/>
            <w:vAlign w:val="center"/>
          </w:tcPr>
          <w:p w14:paraId="7B7BFB6B">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snapToGrid w:val="0"/>
                <w:color w:val="auto"/>
                <w:kern w:val="0"/>
                <w:sz w:val="18"/>
                <w:szCs w:val="18"/>
                <w:lang w:val="en-US" w:eastAsia="zh-CN" w:bidi="ar"/>
              </w:rPr>
              <w:t>17</w:t>
            </w:r>
          </w:p>
        </w:tc>
        <w:tc>
          <w:tcPr>
            <w:tcW w:w="4958" w:type="dxa"/>
            <w:vAlign w:val="top"/>
          </w:tcPr>
          <w:p w14:paraId="405655C6">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尾矿库回采存在下列情形之一的：1.未经批准擅自回采；2.回采方式、顺序、单层开采高度、台阶坡面角不符合设计要求；3.同时进行回采和排放。</w:t>
            </w:r>
          </w:p>
        </w:tc>
        <w:tc>
          <w:tcPr>
            <w:tcW w:w="2310" w:type="dxa"/>
            <w:vAlign w:val="center"/>
          </w:tcPr>
          <w:p w14:paraId="436FB61A">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color w:val="auto"/>
                <w:kern w:val="0"/>
                <w:sz w:val="18"/>
                <w:szCs w:val="18"/>
                <w:lang w:val="en-US" w:eastAsia="zh-CN" w:bidi="ar"/>
              </w:rPr>
              <w:t>无此项</w:t>
            </w:r>
          </w:p>
        </w:tc>
        <w:tc>
          <w:tcPr>
            <w:tcW w:w="998" w:type="dxa"/>
            <w:vAlign w:val="top"/>
          </w:tcPr>
          <w:p w14:paraId="4E45CF9B">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snapToGrid w:val="0"/>
                <w:color w:val="auto"/>
                <w:spacing w:val="7"/>
                <w:kern w:val="0"/>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33C1546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6EA56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 w:hRule="atLeast"/>
          <w:jc w:val="center"/>
        </w:trPr>
        <w:tc>
          <w:tcPr>
            <w:tcW w:w="565" w:type="dxa"/>
            <w:vAlign w:val="center"/>
          </w:tcPr>
          <w:p w14:paraId="66F3EEC1">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snapToGrid w:val="0"/>
                <w:color w:val="auto"/>
                <w:kern w:val="0"/>
                <w:sz w:val="18"/>
                <w:szCs w:val="18"/>
                <w:lang w:val="en-US" w:eastAsia="zh-CN" w:bidi="ar"/>
              </w:rPr>
            </w:pPr>
            <w:r>
              <w:rPr>
                <w:rFonts w:hint="eastAsia" w:ascii="宋体" w:hAnsi="宋体" w:eastAsia="宋体" w:cs="宋体"/>
                <w:snapToGrid w:val="0"/>
                <w:color w:val="auto"/>
                <w:kern w:val="0"/>
                <w:sz w:val="18"/>
                <w:szCs w:val="18"/>
                <w:lang w:val="en-US" w:eastAsia="zh-CN" w:bidi="ar"/>
              </w:rPr>
              <w:t>18</w:t>
            </w:r>
          </w:p>
        </w:tc>
        <w:tc>
          <w:tcPr>
            <w:tcW w:w="4958" w:type="dxa"/>
            <w:vAlign w:val="top"/>
          </w:tcPr>
          <w:p w14:paraId="7FD4DAC9">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用以贮存独立选矿厂进行矿石选别后排出尾矿的场所，未按尾矿库实施安全管理的。</w:t>
            </w:r>
          </w:p>
        </w:tc>
        <w:tc>
          <w:tcPr>
            <w:tcW w:w="2310" w:type="dxa"/>
            <w:vAlign w:val="top"/>
          </w:tcPr>
          <w:p w14:paraId="6C9E62C0">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color w:val="auto"/>
                <w:kern w:val="0"/>
                <w:sz w:val="18"/>
                <w:szCs w:val="18"/>
                <w:lang w:val="en-US" w:eastAsia="zh-CN" w:bidi="ar"/>
              </w:rPr>
              <w:t>无此项</w:t>
            </w:r>
          </w:p>
        </w:tc>
        <w:tc>
          <w:tcPr>
            <w:tcW w:w="998" w:type="dxa"/>
            <w:vAlign w:val="top"/>
          </w:tcPr>
          <w:p w14:paraId="4A6C4513">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snapToGrid w:val="0"/>
                <w:color w:val="auto"/>
                <w:spacing w:val="7"/>
                <w:kern w:val="0"/>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664518A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7472A3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565" w:type="dxa"/>
            <w:vAlign w:val="center"/>
          </w:tcPr>
          <w:p w14:paraId="4DB8BF0D">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snapToGrid w:val="0"/>
                <w:color w:val="auto"/>
                <w:kern w:val="0"/>
                <w:sz w:val="18"/>
                <w:szCs w:val="18"/>
                <w:lang w:val="en-US" w:eastAsia="zh-CN" w:bidi="ar"/>
              </w:rPr>
            </w:pPr>
            <w:r>
              <w:rPr>
                <w:rFonts w:hint="eastAsia" w:ascii="宋体" w:hAnsi="宋体" w:eastAsia="宋体" w:cs="宋体"/>
                <w:snapToGrid w:val="0"/>
                <w:color w:val="auto"/>
                <w:kern w:val="0"/>
                <w:sz w:val="18"/>
                <w:szCs w:val="18"/>
                <w:lang w:val="en-US" w:eastAsia="zh-CN" w:bidi="ar"/>
              </w:rPr>
              <w:t>19</w:t>
            </w:r>
          </w:p>
        </w:tc>
        <w:tc>
          <w:tcPr>
            <w:tcW w:w="4958" w:type="dxa"/>
            <w:vAlign w:val="top"/>
          </w:tcPr>
          <w:p w14:paraId="3017C569">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未按国家规定配备专职安全生产管理人员、专业技术人员和特种作业人员。</w:t>
            </w:r>
          </w:p>
        </w:tc>
        <w:tc>
          <w:tcPr>
            <w:tcW w:w="2310" w:type="dxa"/>
            <w:vAlign w:val="top"/>
          </w:tcPr>
          <w:p w14:paraId="480ACFFC">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default" w:ascii="宋体" w:hAnsi="宋体" w:eastAsia="宋体" w:cs="宋体"/>
                <w:color w:val="auto"/>
                <w:kern w:val="0"/>
                <w:sz w:val="18"/>
                <w:szCs w:val="18"/>
                <w:lang w:val="en-US" w:eastAsia="zh-CN" w:bidi="ar"/>
              </w:rPr>
            </w:pPr>
            <w:r>
              <w:rPr>
                <w:rFonts w:hint="eastAsia" w:ascii="宋体" w:hAnsi="宋体" w:eastAsia="宋体" w:cs="宋体"/>
                <w:color w:val="auto"/>
                <w:kern w:val="0"/>
                <w:sz w:val="18"/>
                <w:szCs w:val="18"/>
                <w:lang w:val="en-US" w:eastAsia="zh-CN" w:bidi="ar"/>
              </w:rPr>
              <w:t>已配备</w:t>
            </w:r>
          </w:p>
        </w:tc>
        <w:tc>
          <w:tcPr>
            <w:tcW w:w="998" w:type="dxa"/>
            <w:vAlign w:val="top"/>
          </w:tcPr>
          <w:p w14:paraId="33DEC315">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eastAsia" w:ascii="宋体" w:hAnsi="宋体" w:eastAsia="宋体" w:cs="宋体"/>
                <w:color w:val="auto"/>
                <w:spacing w:val="7"/>
                <w:sz w:val="18"/>
                <w:szCs w:val="18"/>
                <w:lang w:val="en-US" w:eastAsia="zh-CN"/>
              </w:rPr>
            </w:pPr>
            <w:r>
              <w:rPr>
                <w:rFonts w:hint="eastAsia" w:ascii="宋体" w:hAnsi="宋体" w:eastAsia="宋体" w:cs="宋体"/>
                <w:color w:val="auto"/>
                <w:spacing w:val="7"/>
                <w:sz w:val="18"/>
                <w:szCs w:val="18"/>
                <w:lang w:val="en-US" w:eastAsia="zh-CN"/>
              </w:rPr>
              <w:t>无</w:t>
            </w:r>
          </w:p>
        </w:tc>
        <w:tc>
          <w:tcPr>
            <w:tcW w:w="510" w:type="dxa"/>
            <w:vAlign w:val="top"/>
          </w:tcPr>
          <w:p w14:paraId="41CDA0F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439B5E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3" w:hRule="atLeast"/>
          <w:jc w:val="center"/>
        </w:trPr>
        <w:tc>
          <w:tcPr>
            <w:tcW w:w="565" w:type="dxa"/>
            <w:vAlign w:val="center"/>
          </w:tcPr>
          <w:p w14:paraId="38E14C21">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eastAsia="宋体" w:cs="宋体"/>
                <w:snapToGrid w:val="0"/>
                <w:color w:val="auto"/>
                <w:kern w:val="0"/>
                <w:sz w:val="18"/>
                <w:szCs w:val="18"/>
                <w:lang w:val="en-US" w:eastAsia="zh-CN" w:bidi="ar"/>
              </w:rPr>
            </w:pPr>
            <w:r>
              <w:rPr>
                <w:rFonts w:hint="eastAsia" w:ascii="宋体" w:hAnsi="宋体" w:cs="宋体"/>
                <w:snapToGrid w:val="0"/>
                <w:color w:val="auto"/>
                <w:kern w:val="0"/>
                <w:sz w:val="18"/>
                <w:szCs w:val="18"/>
                <w:lang w:val="en-US" w:eastAsia="zh-CN" w:bidi="ar"/>
              </w:rPr>
              <w:t>20</w:t>
            </w:r>
          </w:p>
        </w:tc>
        <w:tc>
          <w:tcPr>
            <w:tcW w:w="4958" w:type="dxa"/>
            <w:vAlign w:val="top"/>
          </w:tcPr>
          <w:p w14:paraId="43272A1F">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尾矿库排洪构筑物拱板（盖板）与周边结构缝隙未采用设计材料充满充实的，或封堵体设置在井顶、井身段或斜槽顶、槽身段。</w:t>
            </w:r>
          </w:p>
        </w:tc>
        <w:tc>
          <w:tcPr>
            <w:tcW w:w="2310" w:type="dxa"/>
            <w:vAlign w:val="top"/>
          </w:tcPr>
          <w:p w14:paraId="43230D73">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default"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无此现象</w:t>
            </w:r>
          </w:p>
        </w:tc>
        <w:tc>
          <w:tcPr>
            <w:tcW w:w="998" w:type="dxa"/>
            <w:vAlign w:val="top"/>
          </w:tcPr>
          <w:p w14:paraId="468AF6E4">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default" w:ascii="宋体" w:hAnsi="宋体" w:eastAsia="宋体" w:cs="宋体"/>
                <w:color w:val="auto"/>
                <w:spacing w:val="7"/>
                <w:sz w:val="18"/>
                <w:szCs w:val="18"/>
                <w:lang w:val="en-US" w:eastAsia="zh-CN"/>
              </w:rPr>
            </w:pPr>
            <w:r>
              <w:rPr>
                <w:rFonts w:hint="eastAsia" w:ascii="宋体" w:hAnsi="宋体" w:cs="宋体"/>
                <w:color w:val="auto"/>
                <w:spacing w:val="7"/>
                <w:sz w:val="18"/>
                <w:szCs w:val="18"/>
                <w:lang w:val="en-US" w:eastAsia="zh-CN"/>
              </w:rPr>
              <w:t>无</w:t>
            </w:r>
          </w:p>
        </w:tc>
        <w:tc>
          <w:tcPr>
            <w:tcW w:w="510" w:type="dxa"/>
            <w:vAlign w:val="top"/>
          </w:tcPr>
          <w:p w14:paraId="144E1C20">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r w14:paraId="39CAFA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565" w:type="dxa"/>
            <w:vAlign w:val="center"/>
          </w:tcPr>
          <w:p w14:paraId="05043BA3">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center"/>
              <w:textAlignment w:val="auto"/>
              <w:rPr>
                <w:rFonts w:hint="default" w:ascii="宋体" w:hAnsi="宋体" w:cs="宋体"/>
                <w:snapToGrid w:val="0"/>
                <w:color w:val="auto"/>
                <w:kern w:val="0"/>
                <w:sz w:val="18"/>
                <w:szCs w:val="18"/>
                <w:lang w:val="en-US" w:eastAsia="zh-CN" w:bidi="ar"/>
              </w:rPr>
            </w:pPr>
            <w:r>
              <w:rPr>
                <w:rFonts w:hint="eastAsia" w:ascii="宋体" w:hAnsi="宋体" w:cs="宋体"/>
                <w:snapToGrid w:val="0"/>
                <w:color w:val="auto"/>
                <w:kern w:val="0"/>
                <w:sz w:val="18"/>
                <w:szCs w:val="18"/>
                <w:lang w:val="en-US" w:eastAsia="zh-CN" w:bidi="ar"/>
              </w:rPr>
              <w:t>21</w:t>
            </w:r>
          </w:p>
        </w:tc>
        <w:tc>
          <w:tcPr>
            <w:tcW w:w="4958" w:type="dxa"/>
            <w:vAlign w:val="top"/>
          </w:tcPr>
          <w:p w14:paraId="73B2A562">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textAlignment w:val="auto"/>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遇极端天气尾矿库未及时停止作业、撤出现场作业人员。</w:t>
            </w:r>
          </w:p>
        </w:tc>
        <w:tc>
          <w:tcPr>
            <w:tcW w:w="2310" w:type="dxa"/>
            <w:vAlign w:val="top"/>
          </w:tcPr>
          <w:p w14:paraId="72D3AE5A">
            <w:pPr>
              <w:keepNext w:val="0"/>
              <w:keepLines w:val="0"/>
              <w:pageBreakBefore w:val="0"/>
              <w:widowControl w:val="0"/>
              <w:kinsoku/>
              <w:wordWrap/>
              <w:overflowPunct/>
              <w:topLinePunct w:val="0"/>
              <w:autoSpaceDE/>
              <w:autoSpaceDN/>
              <w:bidi w:val="0"/>
              <w:adjustRightInd w:val="0"/>
              <w:snapToGrid w:val="0"/>
              <w:spacing w:before="57" w:line="218" w:lineRule="auto"/>
              <w:ind w:right="119" w:rightChars="0" w:firstLine="0" w:firstLineChars="0"/>
              <w:jc w:val="both"/>
              <w:textAlignment w:val="auto"/>
              <w:rPr>
                <w:rFonts w:hint="default" w:ascii="宋体" w:hAnsi="宋体" w:cs="宋体"/>
                <w:color w:val="auto"/>
                <w:kern w:val="0"/>
                <w:sz w:val="18"/>
                <w:szCs w:val="18"/>
                <w:lang w:val="en-US" w:eastAsia="zh-CN" w:bidi="ar"/>
              </w:rPr>
            </w:pPr>
            <w:r>
              <w:rPr>
                <w:rFonts w:hint="eastAsia" w:ascii="宋体" w:hAnsi="宋体" w:cs="宋体"/>
                <w:color w:val="auto"/>
                <w:kern w:val="0"/>
                <w:sz w:val="18"/>
                <w:szCs w:val="18"/>
                <w:lang w:val="en-US" w:eastAsia="zh-CN" w:bidi="ar"/>
              </w:rPr>
              <w:t>无此现象</w:t>
            </w:r>
          </w:p>
        </w:tc>
        <w:tc>
          <w:tcPr>
            <w:tcW w:w="998" w:type="dxa"/>
            <w:vAlign w:val="top"/>
          </w:tcPr>
          <w:p w14:paraId="721D1B73">
            <w:pPr>
              <w:keepNext w:val="0"/>
              <w:keepLines w:val="0"/>
              <w:pageBreakBefore w:val="0"/>
              <w:widowControl w:val="0"/>
              <w:kinsoku/>
              <w:wordWrap/>
              <w:overflowPunct/>
              <w:topLinePunct w:val="0"/>
              <w:autoSpaceDE/>
              <w:autoSpaceDN/>
              <w:bidi w:val="0"/>
              <w:adjustRightInd w:val="0"/>
              <w:snapToGrid w:val="0"/>
              <w:spacing w:before="220" w:line="192" w:lineRule="auto"/>
              <w:ind w:firstLine="0" w:firstLineChars="0"/>
              <w:jc w:val="center"/>
              <w:textAlignment w:val="auto"/>
              <w:rPr>
                <w:rFonts w:hint="default" w:ascii="宋体" w:hAnsi="宋体" w:cs="宋体"/>
                <w:color w:val="auto"/>
                <w:spacing w:val="7"/>
                <w:sz w:val="18"/>
                <w:szCs w:val="18"/>
                <w:lang w:val="en-US" w:eastAsia="zh-CN"/>
              </w:rPr>
            </w:pPr>
            <w:r>
              <w:rPr>
                <w:rFonts w:hint="eastAsia" w:ascii="宋体" w:hAnsi="宋体" w:cs="宋体"/>
                <w:color w:val="auto"/>
                <w:spacing w:val="7"/>
                <w:sz w:val="18"/>
                <w:szCs w:val="18"/>
                <w:lang w:val="en-US" w:eastAsia="zh-CN"/>
              </w:rPr>
              <w:t>无</w:t>
            </w:r>
          </w:p>
        </w:tc>
        <w:tc>
          <w:tcPr>
            <w:tcW w:w="510" w:type="dxa"/>
            <w:vAlign w:val="top"/>
          </w:tcPr>
          <w:p w14:paraId="7A1300A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color w:val="auto"/>
                <w:sz w:val="18"/>
                <w:szCs w:val="18"/>
              </w:rPr>
            </w:pPr>
          </w:p>
        </w:tc>
      </w:tr>
    </w:tbl>
    <w:p w14:paraId="67F865E9">
      <w:pPr>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由上</w:t>
      </w:r>
      <w:r>
        <w:rPr>
          <w:rFonts w:hint="default" w:ascii="Times New Roman" w:hAnsi="Times New Roman" w:cs="Times New Roman"/>
          <w:color w:val="auto"/>
        </w:rPr>
        <w:t>可知</w:t>
      </w:r>
      <w:r>
        <w:rPr>
          <w:rFonts w:hint="eastAsia" w:ascii="Times New Roman" w:hAnsi="Times New Roman" w:cs="Times New Roman"/>
          <w:color w:val="auto"/>
          <w:lang w:eastAsia="zh-CN"/>
        </w:rPr>
        <w:t>，</w:t>
      </w:r>
      <w:r>
        <w:rPr>
          <w:rFonts w:hint="default" w:ascii="Times New Roman" w:hAnsi="Times New Roman" w:cs="Times New Roman"/>
          <w:color w:val="auto"/>
          <w:lang w:val="en-US" w:eastAsia="zh-CN"/>
        </w:rPr>
        <w:t>江西临川鲁金矿业有限公司茅排金矿庄前尾矿库</w:t>
      </w:r>
      <w:r>
        <w:rPr>
          <w:rFonts w:hint="eastAsia" w:ascii="Times New Roman" w:hAnsi="Times New Roman" w:cs="Times New Roman"/>
          <w:color w:val="auto"/>
          <w:lang w:val="en-US" w:eastAsia="zh-CN"/>
        </w:rPr>
        <w:t>不存在重大事故隐患</w:t>
      </w:r>
      <w:r>
        <w:rPr>
          <w:rFonts w:hint="default" w:ascii="Times New Roman" w:hAnsi="Times New Roman" w:cs="Times New Roman"/>
          <w:color w:val="auto"/>
          <w:lang w:eastAsia="zh-CN"/>
        </w:rPr>
        <w:t>。</w:t>
      </w:r>
    </w:p>
    <w:p w14:paraId="3519438C">
      <w:pPr>
        <w:pStyle w:val="4"/>
        <w:bidi w:val="0"/>
        <w:rPr>
          <w:rFonts w:hint="default" w:ascii="Times New Roman" w:hAnsi="Times New Roman" w:cs="Times New Roman"/>
          <w:color w:val="auto"/>
          <w:lang w:val="en-US" w:eastAsia="zh-CN"/>
        </w:rPr>
      </w:pPr>
      <w:bookmarkStart w:id="120" w:name="_Toc9711"/>
      <w:r>
        <w:rPr>
          <w:rFonts w:hint="default" w:ascii="Times New Roman" w:hAnsi="Times New Roman" w:cs="Times New Roman"/>
          <w:color w:val="auto"/>
          <w:lang w:val="en-US" w:eastAsia="zh-CN"/>
        </w:rPr>
        <w:t>3.4 危险、有害因素分析结果</w:t>
      </w:r>
      <w:bookmarkEnd w:id="120"/>
    </w:p>
    <w:p w14:paraId="097BBC0D">
      <w:pPr>
        <w:pStyle w:val="5"/>
        <w:bidi w:val="0"/>
        <w:rPr>
          <w:rFonts w:hint="default" w:ascii="Times New Roman" w:hAnsi="Times New Roman" w:cs="Times New Roman"/>
          <w:color w:val="auto"/>
          <w:lang w:val="en-US" w:eastAsia="zh-CN"/>
        </w:rPr>
      </w:pPr>
      <w:bookmarkStart w:id="121" w:name="_Toc18716"/>
      <w:r>
        <w:rPr>
          <w:rFonts w:hint="default" w:ascii="Times New Roman" w:hAnsi="Times New Roman" w:cs="Times New Roman"/>
          <w:color w:val="auto"/>
          <w:lang w:val="en-US" w:eastAsia="zh-CN"/>
        </w:rPr>
        <w:t>3.4.1 危险、有害因素产生的原因</w:t>
      </w:r>
      <w:bookmarkEnd w:id="121"/>
    </w:p>
    <w:p w14:paraId="1BFF87CE">
      <w:pPr>
        <w:bidi w:val="0"/>
        <w:rPr>
          <w:rFonts w:hint="default" w:ascii="Times New Roman" w:hAnsi="Times New Roman" w:eastAsia="宋体" w:cs="Times New Roman"/>
          <w:bCs/>
          <w:color w:val="auto"/>
          <w:sz w:val="28"/>
          <w:szCs w:val="28"/>
          <w:lang w:val="en-US" w:eastAsia="zh-CN"/>
        </w:rPr>
      </w:pPr>
      <w:r>
        <w:rPr>
          <w:rFonts w:hint="default" w:ascii="Times New Roman" w:hAnsi="Times New Roman" w:eastAsia="宋体" w:cs="Times New Roman"/>
          <w:bCs/>
          <w:color w:val="auto"/>
          <w:sz w:val="28"/>
          <w:szCs w:val="28"/>
          <w:lang w:val="en-US" w:eastAsia="zh-CN"/>
        </w:rPr>
        <w:t>1. 勘察因素造成；</w:t>
      </w:r>
    </w:p>
    <w:p w14:paraId="38482301">
      <w:pPr>
        <w:bidi w:val="0"/>
        <w:rPr>
          <w:rFonts w:hint="default" w:ascii="Times New Roman" w:hAnsi="Times New Roman" w:eastAsia="宋体" w:cs="Times New Roman"/>
          <w:bCs/>
          <w:color w:val="auto"/>
          <w:sz w:val="28"/>
          <w:szCs w:val="28"/>
          <w:lang w:val="en-US" w:eastAsia="zh-CN"/>
        </w:rPr>
      </w:pPr>
      <w:r>
        <w:rPr>
          <w:rFonts w:hint="default" w:ascii="Times New Roman" w:hAnsi="Times New Roman" w:eastAsia="宋体" w:cs="Times New Roman"/>
          <w:bCs/>
          <w:color w:val="auto"/>
          <w:sz w:val="28"/>
          <w:szCs w:val="28"/>
          <w:lang w:val="en-US" w:eastAsia="zh-CN"/>
        </w:rPr>
        <w:t>2. 设计因素造成；</w:t>
      </w:r>
    </w:p>
    <w:p w14:paraId="59C81024">
      <w:pPr>
        <w:bidi w:val="0"/>
        <w:rPr>
          <w:rFonts w:hint="default" w:ascii="Times New Roman" w:hAnsi="Times New Roman" w:eastAsia="宋体" w:cs="Times New Roman"/>
          <w:bCs/>
          <w:color w:val="auto"/>
          <w:sz w:val="28"/>
          <w:szCs w:val="28"/>
          <w:lang w:val="en-US" w:eastAsia="zh-CN"/>
        </w:rPr>
      </w:pPr>
      <w:r>
        <w:rPr>
          <w:rFonts w:hint="default" w:ascii="Times New Roman" w:hAnsi="Times New Roman" w:eastAsia="宋体" w:cs="Times New Roman"/>
          <w:bCs/>
          <w:color w:val="auto"/>
          <w:sz w:val="28"/>
          <w:szCs w:val="28"/>
          <w:lang w:val="en-US" w:eastAsia="zh-CN"/>
        </w:rPr>
        <w:t>3. 施工因素造成；</w:t>
      </w:r>
    </w:p>
    <w:p w14:paraId="611D8EB0">
      <w:pPr>
        <w:bidi w:val="0"/>
        <w:rPr>
          <w:rFonts w:hint="default" w:ascii="Times New Roman" w:hAnsi="Times New Roman" w:eastAsia="宋体" w:cs="Times New Roman"/>
          <w:bCs/>
          <w:color w:val="auto"/>
          <w:sz w:val="28"/>
          <w:szCs w:val="28"/>
          <w:lang w:val="en-US" w:eastAsia="zh-CN"/>
        </w:rPr>
      </w:pPr>
      <w:r>
        <w:rPr>
          <w:rFonts w:hint="default" w:ascii="Times New Roman" w:hAnsi="Times New Roman" w:eastAsia="宋体" w:cs="Times New Roman"/>
          <w:bCs/>
          <w:color w:val="auto"/>
          <w:sz w:val="28"/>
          <w:szCs w:val="28"/>
          <w:lang w:val="en-US" w:eastAsia="zh-CN"/>
        </w:rPr>
        <w:t>4. 操作管理不当造成；</w:t>
      </w:r>
    </w:p>
    <w:p w14:paraId="16E44D90">
      <w:pPr>
        <w:bidi w:val="0"/>
        <w:rPr>
          <w:rFonts w:hint="default" w:ascii="Times New Roman" w:hAnsi="Times New Roman" w:eastAsia="宋体" w:cs="Times New Roman"/>
          <w:bCs/>
          <w:color w:val="auto"/>
          <w:sz w:val="28"/>
          <w:szCs w:val="28"/>
          <w:lang w:val="en-US" w:eastAsia="zh-CN"/>
        </w:rPr>
      </w:pPr>
      <w:r>
        <w:rPr>
          <w:rFonts w:hint="default" w:ascii="Times New Roman" w:hAnsi="Times New Roman" w:eastAsia="宋体" w:cs="Times New Roman"/>
          <w:bCs/>
          <w:color w:val="auto"/>
          <w:sz w:val="28"/>
          <w:szCs w:val="28"/>
          <w:lang w:val="en-US" w:eastAsia="zh-CN"/>
        </w:rPr>
        <w:t>5. 其他因素造成。</w:t>
      </w:r>
    </w:p>
    <w:p w14:paraId="600114A4">
      <w:pPr>
        <w:pStyle w:val="5"/>
        <w:bidi w:val="0"/>
        <w:rPr>
          <w:rFonts w:hint="default" w:ascii="Times New Roman" w:hAnsi="Times New Roman" w:cs="Times New Roman"/>
          <w:color w:val="auto"/>
          <w:lang w:val="en-US" w:eastAsia="zh-CN"/>
        </w:rPr>
      </w:pPr>
      <w:bookmarkStart w:id="122" w:name="_Toc30333"/>
      <w:r>
        <w:rPr>
          <w:rFonts w:hint="default" w:ascii="Times New Roman" w:hAnsi="Times New Roman" w:cs="Times New Roman"/>
          <w:color w:val="auto"/>
          <w:lang w:val="en-US" w:eastAsia="zh-CN"/>
        </w:rPr>
        <w:t>3.4.2 危险、有害因素分析结果</w:t>
      </w:r>
      <w:bookmarkEnd w:id="122"/>
    </w:p>
    <w:p w14:paraId="0FCD742B">
      <w:pPr>
        <w:bidi w:val="0"/>
        <w:rPr>
          <w:rFonts w:hint="eastAsia"/>
          <w:color w:val="auto"/>
          <w:lang w:val="en-US" w:eastAsia="zh-CN"/>
        </w:rPr>
      </w:pPr>
      <w:r>
        <w:rPr>
          <w:rFonts w:hint="default" w:ascii="Times New Roman" w:hAnsi="Times New Roman" w:eastAsia="宋体" w:cs="Times New Roman"/>
          <w:bCs/>
          <w:color w:val="auto"/>
          <w:sz w:val="28"/>
          <w:szCs w:val="28"/>
          <w:lang w:val="en-US" w:eastAsia="zh-CN"/>
        </w:rPr>
        <w:t>1.江西临川鲁金矿业有限公司茅排金矿庄前尾矿库</w:t>
      </w:r>
      <w:r>
        <w:rPr>
          <w:rFonts w:hint="eastAsia"/>
          <w:color w:val="auto"/>
          <w:lang w:val="en-US" w:eastAsia="zh-CN"/>
        </w:rPr>
        <w:t>暂不属于重大危险源。</w:t>
      </w:r>
    </w:p>
    <w:p w14:paraId="3E21E4CB">
      <w:pPr>
        <w:bidi w:val="0"/>
        <w:rPr>
          <w:rFonts w:hint="default" w:ascii="Times New Roman" w:hAnsi="Times New Roman" w:eastAsia="宋体" w:cs="Times New Roman"/>
          <w:bCs/>
          <w:color w:val="auto"/>
          <w:sz w:val="28"/>
          <w:szCs w:val="28"/>
          <w:lang w:val="en-US" w:eastAsia="zh-CN"/>
        </w:rPr>
      </w:pPr>
      <w:r>
        <w:rPr>
          <w:rFonts w:hint="eastAsia" w:ascii="Times New Roman" w:hAnsi="Times New Roman" w:cs="Times New Roman"/>
          <w:bCs/>
          <w:color w:val="auto"/>
          <w:sz w:val="28"/>
          <w:szCs w:val="28"/>
          <w:lang w:val="en-US" w:eastAsia="zh-CN"/>
        </w:rPr>
        <w:t>2.</w:t>
      </w:r>
      <w:r>
        <w:rPr>
          <w:rFonts w:hint="default" w:ascii="Times New Roman" w:hAnsi="Times New Roman" w:eastAsia="宋体" w:cs="Times New Roman"/>
          <w:bCs/>
          <w:color w:val="auto"/>
          <w:sz w:val="28"/>
          <w:szCs w:val="28"/>
          <w:lang w:val="en-US" w:eastAsia="zh-CN"/>
        </w:rPr>
        <w:t>江西临川鲁金矿业有限公司茅排金矿庄前尾矿库</w:t>
      </w:r>
      <w:r>
        <w:rPr>
          <w:rFonts w:hint="eastAsia" w:ascii="Times New Roman" w:hAnsi="Times New Roman" w:cs="Times New Roman"/>
          <w:bCs/>
          <w:color w:val="auto"/>
          <w:sz w:val="28"/>
          <w:szCs w:val="28"/>
          <w:lang w:val="en-US" w:eastAsia="zh-CN"/>
        </w:rPr>
        <w:t>不存在</w:t>
      </w:r>
      <w:r>
        <w:rPr>
          <w:rFonts w:hint="default" w:ascii="Times New Roman" w:hAnsi="Times New Roman" w:eastAsia="宋体" w:cs="Times New Roman"/>
          <w:bCs/>
          <w:color w:val="auto"/>
          <w:sz w:val="28"/>
          <w:szCs w:val="28"/>
          <w:lang w:val="en-US" w:eastAsia="zh-CN"/>
        </w:rPr>
        <w:t>重大事故隐患。</w:t>
      </w:r>
    </w:p>
    <w:p w14:paraId="512BAB54">
      <w:pPr>
        <w:bidi w:val="0"/>
        <w:rPr>
          <w:rFonts w:hint="default" w:ascii="Times New Roman" w:hAnsi="Times New Roman" w:eastAsia="宋体" w:cs="Times New Roman"/>
          <w:bCs/>
          <w:color w:val="auto"/>
          <w:sz w:val="28"/>
          <w:szCs w:val="28"/>
          <w:lang w:val="en-US" w:eastAsia="zh-CN"/>
        </w:rPr>
      </w:pPr>
      <w:r>
        <w:rPr>
          <w:rFonts w:hint="eastAsia" w:ascii="Times New Roman" w:hAnsi="Times New Roman" w:cs="Times New Roman"/>
          <w:bCs/>
          <w:color w:val="auto"/>
          <w:sz w:val="28"/>
          <w:szCs w:val="28"/>
          <w:lang w:val="en-US" w:eastAsia="zh-CN"/>
        </w:rPr>
        <w:t>3</w:t>
      </w:r>
      <w:r>
        <w:rPr>
          <w:rFonts w:hint="default" w:ascii="Times New Roman" w:hAnsi="Times New Roman" w:eastAsia="宋体" w:cs="Times New Roman"/>
          <w:bCs/>
          <w:color w:val="auto"/>
          <w:sz w:val="28"/>
          <w:szCs w:val="28"/>
          <w:lang w:val="en-US" w:eastAsia="zh-CN"/>
        </w:rPr>
        <w:t>.江西临川鲁金矿业有限公司茅排金矿庄前尾矿库可能存在：滑坡（坝坡失稳）</w:t>
      </w:r>
      <w:r>
        <w:rPr>
          <w:rFonts w:hint="eastAsia" w:ascii="Times New Roman" w:hAnsi="Times New Roman" w:cs="Times New Roman"/>
          <w:bCs/>
          <w:color w:val="auto"/>
          <w:sz w:val="28"/>
          <w:szCs w:val="28"/>
          <w:lang w:val="en-US" w:eastAsia="zh-CN"/>
        </w:rPr>
        <w:t>，</w:t>
      </w:r>
      <w:r>
        <w:rPr>
          <w:rFonts w:hint="default" w:ascii="Times New Roman" w:hAnsi="Times New Roman" w:eastAsia="宋体" w:cs="Times New Roman"/>
          <w:bCs/>
          <w:color w:val="auto"/>
          <w:sz w:val="28"/>
          <w:szCs w:val="28"/>
          <w:lang w:val="en-US" w:eastAsia="zh-CN"/>
        </w:rPr>
        <w:t>渗漏</w:t>
      </w:r>
      <w:r>
        <w:rPr>
          <w:rFonts w:hint="eastAsia" w:ascii="Times New Roman" w:hAnsi="Times New Roman" w:cs="Times New Roman"/>
          <w:bCs/>
          <w:color w:val="auto"/>
          <w:sz w:val="28"/>
          <w:szCs w:val="28"/>
          <w:lang w:val="en-US" w:eastAsia="zh-CN"/>
        </w:rPr>
        <w:t>，</w:t>
      </w:r>
      <w:r>
        <w:rPr>
          <w:rFonts w:hint="default" w:ascii="Times New Roman" w:hAnsi="Times New Roman" w:eastAsia="宋体" w:cs="Times New Roman"/>
          <w:bCs/>
          <w:color w:val="auto"/>
          <w:sz w:val="28"/>
          <w:szCs w:val="28"/>
          <w:lang w:val="en-US" w:eastAsia="zh-CN"/>
        </w:rPr>
        <w:t>排水、泄洪构筑物破坏</w:t>
      </w:r>
      <w:r>
        <w:rPr>
          <w:rFonts w:hint="eastAsia" w:ascii="Times New Roman" w:hAnsi="Times New Roman" w:cs="Times New Roman"/>
          <w:bCs/>
          <w:color w:val="auto"/>
          <w:sz w:val="28"/>
          <w:szCs w:val="28"/>
          <w:lang w:val="en-US" w:eastAsia="zh-CN"/>
        </w:rPr>
        <w:t>，</w:t>
      </w:r>
      <w:r>
        <w:rPr>
          <w:rFonts w:hint="default" w:ascii="Times New Roman" w:hAnsi="Times New Roman" w:eastAsia="宋体" w:cs="Times New Roman"/>
          <w:bCs/>
          <w:color w:val="auto"/>
          <w:sz w:val="28"/>
          <w:szCs w:val="28"/>
          <w:lang w:val="en-US" w:eastAsia="zh-CN"/>
        </w:rPr>
        <w:t>裂缝</w:t>
      </w:r>
      <w:r>
        <w:rPr>
          <w:rFonts w:hint="eastAsia" w:ascii="Times New Roman" w:hAnsi="Times New Roman" w:cs="Times New Roman"/>
          <w:bCs/>
          <w:color w:val="auto"/>
          <w:sz w:val="28"/>
          <w:szCs w:val="28"/>
          <w:lang w:val="en-US" w:eastAsia="zh-CN"/>
        </w:rPr>
        <w:t>，</w:t>
      </w:r>
      <w:r>
        <w:rPr>
          <w:rFonts w:hint="default" w:ascii="Times New Roman" w:hAnsi="Times New Roman" w:eastAsia="宋体" w:cs="Times New Roman"/>
          <w:bCs/>
          <w:color w:val="auto"/>
          <w:sz w:val="28"/>
          <w:szCs w:val="28"/>
          <w:lang w:val="en-US" w:eastAsia="zh-CN"/>
        </w:rPr>
        <w:t>淹溺</w:t>
      </w:r>
      <w:r>
        <w:rPr>
          <w:rFonts w:hint="eastAsia" w:ascii="Times New Roman" w:hAnsi="Times New Roman" w:cs="Times New Roman"/>
          <w:bCs/>
          <w:color w:val="auto"/>
          <w:sz w:val="28"/>
          <w:szCs w:val="28"/>
          <w:lang w:val="en-US" w:eastAsia="zh-CN"/>
        </w:rPr>
        <w:t>，</w:t>
      </w:r>
      <w:r>
        <w:rPr>
          <w:rFonts w:hint="default" w:ascii="Times New Roman" w:hAnsi="Times New Roman" w:eastAsia="宋体" w:cs="Times New Roman"/>
          <w:bCs/>
          <w:color w:val="auto"/>
          <w:sz w:val="28"/>
          <w:szCs w:val="28"/>
          <w:lang w:val="en-US" w:eastAsia="zh-CN"/>
        </w:rPr>
        <w:t>高处坠落</w:t>
      </w:r>
      <w:r>
        <w:rPr>
          <w:rFonts w:hint="eastAsia" w:ascii="Times New Roman" w:hAnsi="Times New Roman" w:cs="Times New Roman"/>
          <w:bCs/>
          <w:color w:val="auto"/>
          <w:sz w:val="28"/>
          <w:szCs w:val="28"/>
          <w:lang w:val="en-US" w:eastAsia="zh-CN"/>
        </w:rPr>
        <w:t>，</w:t>
      </w:r>
      <w:r>
        <w:rPr>
          <w:rFonts w:hint="default" w:ascii="Times New Roman" w:hAnsi="Times New Roman" w:eastAsia="宋体" w:cs="Times New Roman"/>
          <w:bCs/>
          <w:color w:val="auto"/>
          <w:sz w:val="28"/>
          <w:szCs w:val="28"/>
          <w:lang w:val="en-US" w:eastAsia="zh-CN"/>
        </w:rPr>
        <w:t>库区山体滑坡、塌方和泥石流</w:t>
      </w:r>
      <w:r>
        <w:rPr>
          <w:rFonts w:hint="eastAsia" w:ascii="Times New Roman" w:hAnsi="Times New Roman" w:cs="Times New Roman"/>
          <w:bCs/>
          <w:color w:val="auto"/>
          <w:sz w:val="28"/>
          <w:szCs w:val="28"/>
          <w:lang w:val="en-US" w:eastAsia="zh-CN"/>
        </w:rPr>
        <w:t>，</w:t>
      </w:r>
      <w:r>
        <w:rPr>
          <w:rFonts w:hint="default" w:ascii="Times New Roman" w:hAnsi="Times New Roman" w:eastAsia="宋体" w:cs="Times New Roman"/>
          <w:bCs/>
          <w:color w:val="auto"/>
          <w:sz w:val="28"/>
          <w:szCs w:val="28"/>
          <w:lang w:val="en-US" w:eastAsia="zh-CN"/>
        </w:rPr>
        <w:t>不良环境因素及其他因素造成的病害。</w:t>
      </w:r>
    </w:p>
    <w:p w14:paraId="406EC24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14:paraId="12CBDF75">
      <w:pPr>
        <w:pStyle w:val="3"/>
        <w:bidi w:val="0"/>
        <w:rPr>
          <w:rFonts w:hint="default" w:ascii="Times New Roman" w:hAnsi="Times New Roman" w:cs="Times New Roman"/>
          <w:color w:val="auto"/>
          <w:lang w:val="en-US" w:eastAsia="zh-CN"/>
        </w:rPr>
      </w:pPr>
      <w:bookmarkStart w:id="123" w:name="_Toc1484"/>
      <w:r>
        <w:rPr>
          <w:rFonts w:hint="default" w:ascii="Times New Roman" w:hAnsi="Times New Roman" w:cs="Times New Roman"/>
          <w:color w:val="auto"/>
          <w:lang w:val="en-US" w:eastAsia="zh-CN"/>
        </w:rPr>
        <w:t>4.安全评价单元划分和选择</w:t>
      </w:r>
      <w:bookmarkEnd w:id="123"/>
    </w:p>
    <w:p w14:paraId="6C0987CA">
      <w:pPr>
        <w:pStyle w:val="4"/>
        <w:bidi w:val="0"/>
        <w:rPr>
          <w:rFonts w:hint="default" w:ascii="Times New Roman" w:hAnsi="Times New Roman" w:cs="Times New Roman"/>
          <w:color w:val="auto"/>
        </w:rPr>
      </w:pPr>
      <w:bookmarkStart w:id="124" w:name="_Toc22563022"/>
      <w:bookmarkStart w:id="125" w:name="_Toc15603"/>
      <w:bookmarkStart w:id="126" w:name="_Toc116206260"/>
      <w:bookmarkStart w:id="127" w:name="_Toc29310"/>
      <w:r>
        <w:rPr>
          <w:rFonts w:hint="default" w:ascii="Times New Roman" w:hAnsi="Times New Roman" w:cs="Times New Roman"/>
          <w:color w:val="auto"/>
        </w:rPr>
        <w:t>4.1评价单元划分</w:t>
      </w:r>
      <w:bookmarkEnd w:id="124"/>
      <w:bookmarkEnd w:id="125"/>
      <w:bookmarkEnd w:id="126"/>
      <w:bookmarkEnd w:id="127"/>
    </w:p>
    <w:p w14:paraId="3DC592AD">
      <w:pPr>
        <w:bidi w:val="0"/>
        <w:rPr>
          <w:rFonts w:hint="default" w:ascii="Times New Roman" w:hAnsi="Times New Roman" w:cs="Times New Roman"/>
          <w:color w:val="auto"/>
        </w:rPr>
      </w:pPr>
      <w:r>
        <w:rPr>
          <w:rFonts w:hint="default" w:ascii="Times New Roman" w:hAnsi="Times New Roman" w:cs="Times New Roman"/>
          <w:color w:val="auto"/>
        </w:rPr>
        <w:t>评价单元划分是在危险、有害因素分析的基础上</w:t>
      </w:r>
      <w:r>
        <w:rPr>
          <w:rFonts w:hint="eastAsia" w:ascii="Times New Roman" w:hAnsi="Times New Roman" w:cs="Times New Roman"/>
          <w:color w:val="auto"/>
          <w:lang w:eastAsia="zh-CN"/>
        </w:rPr>
        <w:t>，</w:t>
      </w:r>
      <w:r>
        <w:rPr>
          <w:rFonts w:hint="default" w:ascii="Times New Roman" w:hAnsi="Times New Roman" w:cs="Times New Roman"/>
          <w:color w:val="auto"/>
        </w:rPr>
        <w:t>根据评价目标和评价方法的需要进行的。按照评价单元划分的原则和方法</w:t>
      </w:r>
      <w:r>
        <w:rPr>
          <w:rFonts w:hint="eastAsia" w:ascii="Times New Roman" w:hAnsi="Times New Roman" w:cs="Times New Roman"/>
          <w:color w:val="auto"/>
          <w:lang w:eastAsia="zh-CN"/>
        </w:rPr>
        <w:t>，</w:t>
      </w:r>
      <w:r>
        <w:rPr>
          <w:rFonts w:hint="default" w:ascii="Times New Roman" w:hAnsi="Times New Roman" w:cs="Times New Roman"/>
          <w:color w:val="auto"/>
        </w:rPr>
        <w:t>结合</w:t>
      </w:r>
      <w:r>
        <w:rPr>
          <w:rFonts w:hint="default" w:ascii="Times New Roman" w:hAnsi="Times New Roman" w:cs="Times New Roman"/>
          <w:color w:val="auto"/>
          <w:lang w:eastAsia="zh-CN"/>
        </w:rPr>
        <w:t>江西临川鲁金矿业有限公司茅排金矿庄前尾矿库</w:t>
      </w:r>
      <w:r>
        <w:rPr>
          <w:rFonts w:hint="default" w:ascii="Times New Roman" w:hAnsi="Times New Roman" w:cs="Times New Roman"/>
          <w:color w:val="auto"/>
        </w:rPr>
        <w:t>的实际</w:t>
      </w:r>
      <w:r>
        <w:rPr>
          <w:rFonts w:hint="eastAsia" w:ascii="Times New Roman" w:hAnsi="Times New Roman" w:cs="Times New Roman"/>
          <w:color w:val="auto"/>
          <w:lang w:eastAsia="zh-CN"/>
        </w:rPr>
        <w:t>，</w:t>
      </w:r>
      <w:r>
        <w:rPr>
          <w:rFonts w:hint="default" w:ascii="Times New Roman" w:hAnsi="Times New Roman" w:cs="Times New Roman"/>
          <w:color w:val="auto"/>
        </w:rPr>
        <w:t>划分以下评价单元。</w:t>
      </w:r>
    </w:p>
    <w:p w14:paraId="3F0265D0">
      <w:pPr>
        <w:bidi w:val="0"/>
        <w:rPr>
          <w:rFonts w:hint="default" w:ascii="Times New Roman" w:hAnsi="Times New Roman" w:cs="Times New Roman"/>
          <w:color w:val="auto"/>
        </w:rPr>
      </w:pPr>
      <w:r>
        <w:rPr>
          <w:rFonts w:hint="default" w:ascii="Times New Roman" w:hAnsi="Times New Roman" w:cs="Times New Roman"/>
          <w:color w:val="auto"/>
        </w:rPr>
        <w:t>1.安全管理单元。</w:t>
      </w:r>
    </w:p>
    <w:p w14:paraId="392C6DE9">
      <w:pPr>
        <w:bidi w:val="0"/>
        <w:rPr>
          <w:rFonts w:hint="default" w:ascii="Times New Roman" w:hAnsi="Times New Roman" w:cs="Times New Roman"/>
          <w:color w:val="auto"/>
        </w:rPr>
      </w:pPr>
      <w:r>
        <w:rPr>
          <w:rFonts w:hint="default" w:ascii="Times New Roman" w:hAnsi="Times New Roman" w:cs="Times New Roman"/>
          <w:color w:val="auto"/>
        </w:rPr>
        <w:t>2.尾矿坝单元。</w:t>
      </w:r>
    </w:p>
    <w:p w14:paraId="6B92652A">
      <w:pPr>
        <w:bidi w:val="0"/>
        <w:rPr>
          <w:rFonts w:hint="default" w:ascii="Times New Roman" w:hAnsi="Times New Roman" w:cs="Times New Roman"/>
          <w:color w:val="auto"/>
        </w:rPr>
      </w:pPr>
      <w:r>
        <w:rPr>
          <w:rFonts w:hint="default" w:ascii="Times New Roman" w:hAnsi="Times New Roman" w:cs="Times New Roman"/>
          <w:color w:val="auto"/>
        </w:rPr>
        <w:t>3.防排洪系统单元。</w:t>
      </w:r>
    </w:p>
    <w:p w14:paraId="6D90E267">
      <w:pPr>
        <w:bidi w:val="0"/>
        <w:rPr>
          <w:rFonts w:hint="default" w:ascii="Times New Roman" w:hAnsi="Times New Roman" w:cs="Times New Roman"/>
          <w:color w:val="auto"/>
        </w:rPr>
      </w:pPr>
      <w:r>
        <w:rPr>
          <w:rFonts w:hint="default" w:ascii="Times New Roman" w:hAnsi="Times New Roman" w:cs="Times New Roman"/>
          <w:color w:val="auto"/>
        </w:rPr>
        <w:t>4.</w:t>
      </w:r>
      <w:r>
        <w:rPr>
          <w:rFonts w:hint="default" w:ascii="Times New Roman" w:hAnsi="Times New Roman" w:cs="Times New Roman"/>
          <w:color w:val="auto"/>
          <w:lang w:val="en-US" w:eastAsia="zh-CN"/>
        </w:rPr>
        <w:t>安全监测</w:t>
      </w:r>
      <w:r>
        <w:rPr>
          <w:rFonts w:hint="default" w:ascii="Times New Roman" w:hAnsi="Times New Roman" w:cs="Times New Roman"/>
          <w:color w:val="auto"/>
        </w:rPr>
        <w:t>设施单元。</w:t>
      </w:r>
    </w:p>
    <w:p w14:paraId="11B55209">
      <w:pPr>
        <w:bidi w:val="0"/>
        <w:rPr>
          <w:rFonts w:hint="default" w:ascii="Times New Roman" w:hAnsi="Times New Roman" w:cs="Times New Roman"/>
          <w:color w:val="auto"/>
        </w:rPr>
      </w:pPr>
      <w:r>
        <w:rPr>
          <w:rFonts w:hint="default" w:ascii="Times New Roman" w:hAnsi="Times New Roman" w:cs="Times New Roman"/>
          <w:color w:val="auto"/>
        </w:rPr>
        <w:t>5.库区环境单元。</w:t>
      </w:r>
    </w:p>
    <w:p w14:paraId="22362BC5">
      <w:pPr>
        <w:pStyle w:val="4"/>
        <w:bidi w:val="0"/>
        <w:rPr>
          <w:rFonts w:hint="default" w:ascii="Times New Roman" w:hAnsi="Times New Roman" w:cs="Times New Roman"/>
          <w:color w:val="auto"/>
        </w:rPr>
      </w:pPr>
      <w:bookmarkStart w:id="128" w:name="_Toc22563023"/>
      <w:bookmarkStart w:id="129" w:name="_Toc3213"/>
      <w:bookmarkStart w:id="130" w:name="_Toc9716"/>
      <w:bookmarkStart w:id="131" w:name="_Toc116206261"/>
      <w:r>
        <w:rPr>
          <w:rFonts w:hint="default" w:ascii="Times New Roman" w:hAnsi="Times New Roman" w:cs="Times New Roman"/>
          <w:color w:val="auto"/>
        </w:rPr>
        <w:t>4.2评价方法选择</w:t>
      </w:r>
      <w:bookmarkEnd w:id="128"/>
      <w:bookmarkEnd w:id="129"/>
      <w:bookmarkEnd w:id="130"/>
      <w:bookmarkEnd w:id="131"/>
    </w:p>
    <w:p w14:paraId="6687D6D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37" w:firstLineChars="192"/>
        <w:textAlignment w:val="auto"/>
        <w:rPr>
          <w:rFonts w:hint="default" w:ascii="Times New Roman" w:hAnsi="Times New Roman" w:cs="Times New Roman"/>
          <w:color w:val="auto"/>
          <w:sz w:val="28"/>
        </w:rPr>
      </w:pPr>
      <w:r>
        <w:rPr>
          <w:rFonts w:hint="default" w:ascii="Times New Roman" w:hAnsi="Times New Roman" w:cs="Times New Roman"/>
          <w:color w:val="auto"/>
          <w:sz w:val="28"/>
        </w:rPr>
        <w:t>安全评价方法是进行定性、定量安全评价的工具</w:t>
      </w:r>
      <w:r>
        <w:rPr>
          <w:rFonts w:hint="eastAsia" w:ascii="Times New Roman" w:hAnsi="Times New Roman" w:cs="Times New Roman"/>
          <w:color w:val="auto"/>
          <w:sz w:val="28"/>
          <w:lang w:eastAsia="zh-CN"/>
        </w:rPr>
        <w:t>，</w:t>
      </w:r>
      <w:r>
        <w:rPr>
          <w:rFonts w:hint="default" w:ascii="Times New Roman" w:hAnsi="Times New Roman" w:cs="Times New Roman"/>
          <w:color w:val="auto"/>
          <w:sz w:val="28"/>
        </w:rPr>
        <w:t>应根据评价对象和要实现的安全评价目标</w:t>
      </w:r>
      <w:r>
        <w:rPr>
          <w:rFonts w:hint="eastAsia" w:ascii="Times New Roman" w:hAnsi="Times New Roman" w:cs="Times New Roman"/>
          <w:color w:val="auto"/>
          <w:sz w:val="28"/>
          <w:lang w:eastAsia="zh-CN"/>
        </w:rPr>
        <w:t>，</w:t>
      </w:r>
      <w:r>
        <w:rPr>
          <w:rFonts w:hint="default" w:ascii="Times New Roman" w:hAnsi="Times New Roman" w:cs="Times New Roman"/>
          <w:color w:val="auto"/>
          <w:sz w:val="28"/>
        </w:rPr>
        <w:t>选择适用的安全评价方法。本次评价选择如下评价方法：</w:t>
      </w:r>
    </w:p>
    <w:p w14:paraId="04ED016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37" w:firstLineChars="192"/>
        <w:textAlignment w:val="auto"/>
        <w:rPr>
          <w:rFonts w:hint="default" w:ascii="Times New Roman" w:hAnsi="Times New Roman" w:cs="Times New Roman"/>
          <w:color w:val="auto"/>
          <w:sz w:val="28"/>
        </w:rPr>
      </w:pPr>
      <w:r>
        <w:rPr>
          <w:rFonts w:hint="default" w:ascii="Times New Roman" w:hAnsi="Times New Roman" w:cs="Times New Roman"/>
          <w:color w:val="auto"/>
          <w:sz w:val="28"/>
        </w:rPr>
        <w:t>（1）安全检查表法（SCA）。</w:t>
      </w:r>
    </w:p>
    <w:p w14:paraId="366688F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37" w:firstLineChars="192"/>
        <w:textAlignment w:val="auto"/>
        <w:rPr>
          <w:rFonts w:hint="default" w:ascii="Times New Roman" w:hAnsi="Times New Roman" w:cs="Times New Roman"/>
          <w:color w:val="auto"/>
          <w:sz w:val="28"/>
        </w:rPr>
      </w:pPr>
      <w:r>
        <w:rPr>
          <w:rFonts w:hint="default" w:ascii="Times New Roman" w:hAnsi="Times New Roman" w:cs="Times New Roman"/>
          <w:color w:val="auto"/>
          <w:sz w:val="28"/>
        </w:rPr>
        <w:t>（2）调洪演算。</w:t>
      </w:r>
    </w:p>
    <w:p w14:paraId="0AF01BD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37" w:firstLineChars="192"/>
        <w:textAlignment w:val="auto"/>
        <w:rPr>
          <w:rFonts w:hint="default" w:ascii="Times New Roman" w:hAnsi="Times New Roman" w:cs="Times New Roman"/>
          <w:color w:val="auto"/>
          <w:sz w:val="28"/>
        </w:rPr>
      </w:pPr>
      <w:r>
        <w:rPr>
          <w:rFonts w:hint="default" w:ascii="Times New Roman" w:hAnsi="Times New Roman" w:cs="Times New Roman"/>
          <w:color w:val="auto"/>
          <w:sz w:val="28"/>
        </w:rPr>
        <w:t>（3）</w:t>
      </w:r>
      <w:r>
        <w:rPr>
          <w:rFonts w:hint="default" w:ascii="Times New Roman" w:hAnsi="Times New Roman" w:cs="Times New Roman"/>
          <w:color w:val="auto"/>
          <w:sz w:val="28"/>
          <w:lang w:val="en-US" w:eastAsia="zh-CN"/>
        </w:rPr>
        <w:t>坝体</w:t>
      </w:r>
      <w:r>
        <w:rPr>
          <w:rFonts w:hint="default" w:ascii="Times New Roman" w:hAnsi="Times New Roman" w:cs="Times New Roman"/>
          <w:color w:val="auto"/>
          <w:sz w:val="28"/>
        </w:rPr>
        <w:t>稳定性计算。</w:t>
      </w:r>
    </w:p>
    <w:p w14:paraId="3A4224DB">
      <w:pPr>
        <w:spacing w:line="600" w:lineRule="exact"/>
        <w:ind w:firstLine="549"/>
        <w:rPr>
          <w:rFonts w:hint="default" w:ascii="Times New Roman" w:hAnsi="Times New Roman" w:cs="Times New Roman"/>
          <w:color w:val="auto"/>
          <w:sz w:val="28"/>
        </w:rPr>
      </w:pPr>
      <w:r>
        <w:rPr>
          <w:rFonts w:hint="default" w:ascii="Times New Roman" w:hAnsi="Times New Roman" w:cs="Times New Roman"/>
          <w:color w:val="auto"/>
          <w:sz w:val="28"/>
        </w:rPr>
        <w:t>具体评价单元的划分和采用的评价方法表4.</w:t>
      </w:r>
      <w:r>
        <w:rPr>
          <w:rFonts w:hint="default" w:ascii="Times New Roman" w:hAnsi="Times New Roman" w:cs="Times New Roman"/>
          <w:color w:val="auto"/>
          <w:sz w:val="28"/>
          <w:lang w:val="en-US" w:eastAsia="zh-CN"/>
        </w:rPr>
        <w:t>2</w:t>
      </w:r>
      <w:r>
        <w:rPr>
          <w:rFonts w:hint="default" w:ascii="Times New Roman" w:hAnsi="Times New Roman" w:cs="Times New Roman"/>
          <w:color w:val="auto"/>
          <w:sz w:val="28"/>
        </w:rPr>
        <w:t>-1。</w:t>
      </w:r>
    </w:p>
    <w:p w14:paraId="24F8796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auto"/>
        </w:rPr>
      </w:pPr>
      <w:r>
        <w:rPr>
          <w:rFonts w:hint="default" w:ascii="Times New Roman" w:hAnsi="Times New Roman" w:cs="Times New Roman"/>
          <w:color w:val="auto"/>
        </w:rPr>
        <w:t>表4.</w:t>
      </w:r>
      <w:r>
        <w:rPr>
          <w:rFonts w:hint="default" w:ascii="Times New Roman" w:hAnsi="Times New Roman" w:cs="Times New Roman"/>
          <w:color w:val="auto"/>
          <w:lang w:val="en-US" w:eastAsia="zh-CN"/>
        </w:rPr>
        <w:t>2</w:t>
      </w:r>
      <w:r>
        <w:rPr>
          <w:rFonts w:hint="default" w:ascii="Times New Roman" w:hAnsi="Times New Roman" w:cs="Times New Roman"/>
          <w:color w:val="auto"/>
        </w:rPr>
        <w:t>-1评价单元划分表</w:t>
      </w:r>
    </w:p>
    <w:tbl>
      <w:tblPr>
        <w:tblStyle w:val="17"/>
        <w:tblW w:w="5033"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3797"/>
        <w:gridCol w:w="4671"/>
      </w:tblGrid>
      <w:tr w14:paraId="4EFCC4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471" w:type="pct"/>
            <w:tcBorders>
              <w:tl2br w:val="nil"/>
              <w:tr2bl w:val="nil"/>
            </w:tcBorders>
            <w:noWrap w:val="0"/>
            <w:vAlign w:val="center"/>
          </w:tcPr>
          <w:p w14:paraId="753E34F4">
            <w:pPr>
              <w:pStyle w:val="21"/>
              <w:bidi w:val="0"/>
              <w:spacing w:line="240" w:lineRule="auto"/>
              <w:rPr>
                <w:rFonts w:hint="default" w:ascii="Times New Roman" w:hAnsi="Times New Roman" w:cs="Times New Roman"/>
                <w:color w:val="auto"/>
              </w:rPr>
            </w:pPr>
            <w:r>
              <w:rPr>
                <w:rFonts w:hint="default" w:ascii="Times New Roman" w:hAnsi="Times New Roman" w:cs="Times New Roman"/>
                <w:color w:val="auto"/>
              </w:rPr>
              <w:t>序号</w:t>
            </w:r>
          </w:p>
        </w:tc>
        <w:tc>
          <w:tcPr>
            <w:tcW w:w="2030" w:type="pct"/>
            <w:tcBorders>
              <w:tl2br w:val="nil"/>
              <w:tr2bl w:val="nil"/>
            </w:tcBorders>
            <w:noWrap w:val="0"/>
            <w:vAlign w:val="center"/>
          </w:tcPr>
          <w:p w14:paraId="419B4351">
            <w:pPr>
              <w:pStyle w:val="21"/>
              <w:bidi w:val="0"/>
              <w:spacing w:line="240" w:lineRule="auto"/>
              <w:rPr>
                <w:rFonts w:hint="default" w:ascii="Times New Roman" w:hAnsi="Times New Roman" w:cs="Times New Roman"/>
                <w:color w:val="auto"/>
              </w:rPr>
            </w:pPr>
            <w:r>
              <w:rPr>
                <w:rFonts w:hint="default" w:ascii="Times New Roman" w:hAnsi="Times New Roman" w:cs="Times New Roman"/>
                <w:color w:val="auto"/>
              </w:rPr>
              <w:t>评价单元</w:t>
            </w:r>
          </w:p>
        </w:tc>
        <w:tc>
          <w:tcPr>
            <w:tcW w:w="2497" w:type="pct"/>
            <w:tcBorders>
              <w:tl2br w:val="nil"/>
              <w:tr2bl w:val="nil"/>
            </w:tcBorders>
            <w:noWrap w:val="0"/>
            <w:vAlign w:val="center"/>
          </w:tcPr>
          <w:p w14:paraId="1EF03DA5">
            <w:pPr>
              <w:pStyle w:val="21"/>
              <w:bidi w:val="0"/>
              <w:spacing w:line="240" w:lineRule="auto"/>
              <w:rPr>
                <w:rFonts w:hint="default" w:ascii="Times New Roman" w:hAnsi="Times New Roman" w:cs="Times New Roman"/>
                <w:color w:val="auto"/>
              </w:rPr>
            </w:pPr>
            <w:r>
              <w:rPr>
                <w:rFonts w:hint="default" w:ascii="Times New Roman" w:hAnsi="Times New Roman" w:cs="Times New Roman"/>
                <w:color w:val="auto"/>
              </w:rPr>
              <w:t>采用的评价方法</w:t>
            </w:r>
          </w:p>
        </w:tc>
      </w:tr>
      <w:tr w14:paraId="06F6F6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71" w:type="pct"/>
            <w:vMerge w:val="restart"/>
            <w:tcBorders>
              <w:tl2br w:val="nil"/>
              <w:tr2bl w:val="nil"/>
            </w:tcBorders>
            <w:noWrap w:val="0"/>
            <w:vAlign w:val="center"/>
          </w:tcPr>
          <w:p w14:paraId="27C18B97">
            <w:pPr>
              <w:pStyle w:val="22"/>
              <w:bidi w:val="0"/>
              <w:rPr>
                <w:rFonts w:hint="default" w:ascii="Times New Roman" w:hAnsi="Times New Roman" w:cs="Times New Roman"/>
                <w:color w:val="auto"/>
              </w:rPr>
            </w:pPr>
            <w:r>
              <w:rPr>
                <w:rFonts w:hint="default" w:ascii="Times New Roman" w:hAnsi="Times New Roman" w:cs="Times New Roman"/>
                <w:color w:val="auto"/>
              </w:rPr>
              <w:t>1</w:t>
            </w:r>
          </w:p>
        </w:tc>
        <w:tc>
          <w:tcPr>
            <w:tcW w:w="2030" w:type="pct"/>
            <w:vMerge w:val="restart"/>
            <w:tcBorders>
              <w:tl2br w:val="nil"/>
              <w:tr2bl w:val="nil"/>
            </w:tcBorders>
            <w:noWrap w:val="0"/>
            <w:vAlign w:val="center"/>
          </w:tcPr>
          <w:p w14:paraId="3C20D716">
            <w:pPr>
              <w:pStyle w:val="2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安全管理单元</w:t>
            </w:r>
          </w:p>
        </w:tc>
        <w:tc>
          <w:tcPr>
            <w:tcW w:w="2497" w:type="pct"/>
            <w:vMerge w:val="restart"/>
            <w:tcBorders>
              <w:tl2br w:val="nil"/>
              <w:tr2bl w:val="nil"/>
            </w:tcBorders>
            <w:noWrap w:val="0"/>
            <w:vAlign w:val="center"/>
          </w:tcPr>
          <w:p w14:paraId="24DF1A24">
            <w:pPr>
              <w:pStyle w:val="2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安全检查表</w:t>
            </w:r>
            <w:r>
              <w:rPr>
                <w:rFonts w:hint="default" w:ascii="Times New Roman" w:hAnsi="Times New Roman" w:cs="Times New Roman"/>
                <w:color w:val="auto"/>
                <w:lang w:val="en-US" w:eastAsia="zh-CN"/>
              </w:rPr>
              <w:t>法</w:t>
            </w:r>
          </w:p>
        </w:tc>
      </w:tr>
      <w:tr w14:paraId="174956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71" w:type="pct"/>
            <w:vMerge w:val="continue"/>
            <w:tcBorders>
              <w:tl2br w:val="nil"/>
              <w:tr2bl w:val="nil"/>
            </w:tcBorders>
            <w:noWrap w:val="0"/>
            <w:vAlign w:val="center"/>
          </w:tcPr>
          <w:p w14:paraId="641E652F">
            <w:pPr>
              <w:pStyle w:val="22"/>
              <w:bidi w:val="0"/>
              <w:rPr>
                <w:rFonts w:hint="default" w:ascii="Times New Roman" w:hAnsi="Times New Roman" w:cs="Times New Roman"/>
                <w:color w:val="auto"/>
              </w:rPr>
            </w:pPr>
          </w:p>
        </w:tc>
        <w:tc>
          <w:tcPr>
            <w:tcW w:w="2030" w:type="pct"/>
            <w:vMerge w:val="continue"/>
            <w:tcBorders>
              <w:tl2br w:val="nil"/>
              <w:tr2bl w:val="nil"/>
            </w:tcBorders>
            <w:noWrap w:val="0"/>
            <w:vAlign w:val="center"/>
          </w:tcPr>
          <w:p w14:paraId="7FC71B14">
            <w:pPr>
              <w:pStyle w:val="22"/>
              <w:bidi w:val="0"/>
              <w:rPr>
                <w:rFonts w:hint="default" w:ascii="Times New Roman" w:hAnsi="Times New Roman" w:cs="Times New Roman"/>
                <w:color w:val="auto"/>
              </w:rPr>
            </w:pPr>
          </w:p>
        </w:tc>
        <w:tc>
          <w:tcPr>
            <w:tcW w:w="2497" w:type="pct"/>
            <w:vMerge w:val="continue"/>
            <w:tcBorders>
              <w:tl2br w:val="nil"/>
              <w:tr2bl w:val="nil"/>
            </w:tcBorders>
            <w:noWrap w:val="0"/>
            <w:vAlign w:val="center"/>
          </w:tcPr>
          <w:p w14:paraId="0365CF28">
            <w:pPr>
              <w:pStyle w:val="22"/>
              <w:bidi w:val="0"/>
              <w:rPr>
                <w:rFonts w:hint="default" w:ascii="Times New Roman" w:hAnsi="Times New Roman" w:cs="Times New Roman"/>
                <w:color w:val="auto"/>
              </w:rPr>
            </w:pPr>
          </w:p>
        </w:tc>
      </w:tr>
      <w:tr w14:paraId="4FDB0E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71" w:type="pct"/>
            <w:vMerge w:val="restart"/>
            <w:tcBorders>
              <w:tl2br w:val="nil"/>
              <w:tr2bl w:val="nil"/>
            </w:tcBorders>
            <w:noWrap w:val="0"/>
            <w:vAlign w:val="center"/>
          </w:tcPr>
          <w:p w14:paraId="7F346FC7">
            <w:pPr>
              <w:pStyle w:val="22"/>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2</w:t>
            </w:r>
          </w:p>
        </w:tc>
        <w:tc>
          <w:tcPr>
            <w:tcW w:w="2030" w:type="pct"/>
            <w:vMerge w:val="restart"/>
            <w:tcBorders>
              <w:tl2br w:val="nil"/>
              <w:tr2bl w:val="nil"/>
            </w:tcBorders>
            <w:noWrap w:val="0"/>
            <w:vAlign w:val="center"/>
          </w:tcPr>
          <w:p w14:paraId="20926EE8">
            <w:pPr>
              <w:pStyle w:val="2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尾矿坝单元</w:t>
            </w:r>
          </w:p>
        </w:tc>
        <w:tc>
          <w:tcPr>
            <w:tcW w:w="2497" w:type="pct"/>
            <w:vMerge w:val="restart"/>
            <w:tcBorders>
              <w:tl2br w:val="nil"/>
              <w:tr2bl w:val="nil"/>
            </w:tcBorders>
            <w:noWrap w:val="0"/>
            <w:vAlign w:val="center"/>
          </w:tcPr>
          <w:p w14:paraId="0BBFBED7">
            <w:pPr>
              <w:pStyle w:val="2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安全检查表</w:t>
            </w:r>
            <w:r>
              <w:rPr>
                <w:rFonts w:hint="default" w:ascii="Times New Roman" w:hAnsi="Times New Roman" w:cs="Times New Roman"/>
                <w:color w:val="auto"/>
                <w:lang w:val="en-US" w:eastAsia="zh-CN"/>
              </w:rPr>
              <w:t>法</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坝体稳定计算</w:t>
            </w:r>
          </w:p>
        </w:tc>
      </w:tr>
      <w:tr w14:paraId="258B26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71" w:type="pct"/>
            <w:vMerge w:val="continue"/>
            <w:tcBorders>
              <w:tl2br w:val="nil"/>
              <w:tr2bl w:val="nil"/>
            </w:tcBorders>
            <w:noWrap w:val="0"/>
            <w:vAlign w:val="center"/>
          </w:tcPr>
          <w:p w14:paraId="16E3A695">
            <w:pPr>
              <w:pStyle w:val="22"/>
              <w:bidi w:val="0"/>
              <w:rPr>
                <w:rFonts w:hint="default" w:ascii="Times New Roman" w:hAnsi="Times New Roman" w:cs="Times New Roman"/>
                <w:color w:val="auto"/>
              </w:rPr>
            </w:pPr>
          </w:p>
        </w:tc>
        <w:tc>
          <w:tcPr>
            <w:tcW w:w="2030" w:type="pct"/>
            <w:vMerge w:val="continue"/>
            <w:tcBorders>
              <w:tl2br w:val="nil"/>
              <w:tr2bl w:val="nil"/>
            </w:tcBorders>
            <w:noWrap w:val="0"/>
            <w:vAlign w:val="center"/>
          </w:tcPr>
          <w:p w14:paraId="55C9A494">
            <w:pPr>
              <w:pStyle w:val="22"/>
              <w:bidi w:val="0"/>
              <w:rPr>
                <w:rFonts w:hint="default" w:ascii="Times New Roman" w:hAnsi="Times New Roman" w:cs="Times New Roman"/>
                <w:color w:val="auto"/>
              </w:rPr>
            </w:pPr>
          </w:p>
        </w:tc>
        <w:tc>
          <w:tcPr>
            <w:tcW w:w="2497" w:type="pct"/>
            <w:vMerge w:val="continue"/>
            <w:tcBorders>
              <w:tl2br w:val="nil"/>
              <w:tr2bl w:val="nil"/>
            </w:tcBorders>
            <w:noWrap w:val="0"/>
            <w:vAlign w:val="center"/>
          </w:tcPr>
          <w:p w14:paraId="05C9F987">
            <w:pPr>
              <w:pStyle w:val="22"/>
              <w:bidi w:val="0"/>
              <w:rPr>
                <w:rFonts w:hint="default" w:ascii="Times New Roman" w:hAnsi="Times New Roman" w:cs="Times New Roman"/>
                <w:color w:val="auto"/>
              </w:rPr>
            </w:pPr>
          </w:p>
        </w:tc>
      </w:tr>
      <w:tr w14:paraId="5D1300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471" w:type="pct"/>
            <w:tcBorders>
              <w:tl2br w:val="nil"/>
              <w:tr2bl w:val="nil"/>
            </w:tcBorders>
            <w:noWrap w:val="0"/>
            <w:vAlign w:val="center"/>
          </w:tcPr>
          <w:p w14:paraId="00B606B2">
            <w:pPr>
              <w:pStyle w:val="22"/>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3</w:t>
            </w:r>
          </w:p>
        </w:tc>
        <w:tc>
          <w:tcPr>
            <w:tcW w:w="2030" w:type="pct"/>
            <w:tcBorders>
              <w:tl2br w:val="nil"/>
              <w:tr2bl w:val="nil"/>
            </w:tcBorders>
            <w:noWrap w:val="0"/>
            <w:vAlign w:val="center"/>
          </w:tcPr>
          <w:p w14:paraId="45C2EF0B">
            <w:pPr>
              <w:pStyle w:val="2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防排洪系统单元</w:t>
            </w:r>
          </w:p>
        </w:tc>
        <w:tc>
          <w:tcPr>
            <w:tcW w:w="2497" w:type="pct"/>
            <w:tcBorders>
              <w:tl2br w:val="nil"/>
              <w:tr2bl w:val="nil"/>
            </w:tcBorders>
            <w:noWrap w:val="0"/>
            <w:vAlign w:val="center"/>
          </w:tcPr>
          <w:p w14:paraId="21D7EC68">
            <w:pPr>
              <w:pStyle w:val="22"/>
              <w:bidi w:val="0"/>
              <w:rPr>
                <w:rFonts w:hint="default" w:ascii="Times New Roman" w:hAnsi="Times New Roman" w:eastAsia="宋体" w:cs="Times New Roman"/>
                <w:color w:val="auto"/>
                <w:lang w:eastAsia="zh-CN"/>
              </w:rPr>
            </w:pPr>
            <w:r>
              <w:rPr>
                <w:rFonts w:hint="default" w:ascii="Times New Roman" w:hAnsi="Times New Roman" w:cs="Times New Roman"/>
                <w:color w:val="auto"/>
              </w:rPr>
              <w:t>安全检查表</w:t>
            </w:r>
            <w:r>
              <w:rPr>
                <w:rFonts w:hint="default" w:ascii="Times New Roman" w:hAnsi="Times New Roman" w:cs="Times New Roman"/>
                <w:color w:val="auto"/>
                <w:lang w:val="en-US" w:eastAsia="zh-CN"/>
              </w:rPr>
              <w:t>法</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调洪演算</w:t>
            </w:r>
          </w:p>
        </w:tc>
      </w:tr>
      <w:tr w14:paraId="45DB80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471" w:type="pct"/>
            <w:tcBorders>
              <w:tl2br w:val="nil"/>
              <w:tr2bl w:val="nil"/>
            </w:tcBorders>
            <w:noWrap w:val="0"/>
            <w:vAlign w:val="center"/>
          </w:tcPr>
          <w:p w14:paraId="5263A603">
            <w:pPr>
              <w:pStyle w:val="2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2030" w:type="pct"/>
            <w:tcBorders>
              <w:tl2br w:val="nil"/>
              <w:tr2bl w:val="nil"/>
            </w:tcBorders>
            <w:noWrap w:val="0"/>
            <w:vAlign w:val="center"/>
          </w:tcPr>
          <w:p w14:paraId="41714DDF">
            <w:pPr>
              <w:pStyle w:val="2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安全监测设施单元</w:t>
            </w:r>
          </w:p>
        </w:tc>
        <w:tc>
          <w:tcPr>
            <w:tcW w:w="2497" w:type="pct"/>
            <w:tcBorders>
              <w:tl2br w:val="nil"/>
              <w:tr2bl w:val="nil"/>
            </w:tcBorders>
            <w:noWrap w:val="0"/>
            <w:vAlign w:val="center"/>
          </w:tcPr>
          <w:p w14:paraId="591FDB7C">
            <w:pPr>
              <w:pStyle w:val="22"/>
              <w:bidi w:val="0"/>
              <w:rPr>
                <w:rFonts w:hint="default" w:ascii="Times New Roman" w:hAnsi="Times New Roman" w:cs="Times New Roman"/>
                <w:color w:val="auto"/>
                <w:lang w:eastAsia="zh-CN"/>
              </w:rPr>
            </w:pPr>
            <w:r>
              <w:rPr>
                <w:rFonts w:hint="default" w:ascii="Times New Roman" w:hAnsi="Times New Roman" w:cs="Times New Roman"/>
                <w:color w:val="auto"/>
              </w:rPr>
              <w:t>安全检查</w:t>
            </w:r>
            <w:r>
              <w:rPr>
                <w:rFonts w:hint="default" w:ascii="Times New Roman" w:hAnsi="Times New Roman" w:cs="Times New Roman"/>
                <w:color w:val="auto"/>
                <w:lang w:val="en-US" w:eastAsia="zh-CN"/>
              </w:rPr>
              <w:t>法</w:t>
            </w:r>
          </w:p>
        </w:tc>
      </w:tr>
      <w:tr w14:paraId="6F7F33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471" w:type="pct"/>
            <w:tcBorders>
              <w:tl2br w:val="nil"/>
              <w:tr2bl w:val="nil"/>
            </w:tcBorders>
            <w:noWrap w:val="0"/>
            <w:vAlign w:val="center"/>
          </w:tcPr>
          <w:p w14:paraId="59A5A591">
            <w:pPr>
              <w:pStyle w:val="22"/>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5</w:t>
            </w:r>
          </w:p>
        </w:tc>
        <w:tc>
          <w:tcPr>
            <w:tcW w:w="2030" w:type="pct"/>
            <w:tcBorders>
              <w:tl2br w:val="nil"/>
              <w:tr2bl w:val="nil"/>
            </w:tcBorders>
            <w:noWrap w:val="0"/>
            <w:vAlign w:val="center"/>
          </w:tcPr>
          <w:p w14:paraId="21FC664D">
            <w:pPr>
              <w:pStyle w:val="2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库区环境单元</w:t>
            </w:r>
          </w:p>
        </w:tc>
        <w:tc>
          <w:tcPr>
            <w:tcW w:w="2497" w:type="pct"/>
            <w:tcBorders>
              <w:tl2br w:val="nil"/>
              <w:tr2bl w:val="nil"/>
            </w:tcBorders>
            <w:noWrap w:val="0"/>
            <w:vAlign w:val="center"/>
          </w:tcPr>
          <w:p w14:paraId="0C6F69FF">
            <w:pPr>
              <w:pStyle w:val="2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安全检查表</w:t>
            </w:r>
            <w:r>
              <w:rPr>
                <w:rFonts w:hint="default" w:ascii="Times New Roman" w:hAnsi="Times New Roman" w:cs="Times New Roman"/>
                <w:color w:val="auto"/>
                <w:lang w:val="en-US" w:eastAsia="zh-CN"/>
              </w:rPr>
              <w:t>法</w:t>
            </w:r>
          </w:p>
        </w:tc>
      </w:tr>
    </w:tbl>
    <w:p w14:paraId="173A3B3C">
      <w:pPr>
        <w:pStyle w:val="5"/>
        <w:bidi w:val="0"/>
        <w:rPr>
          <w:rFonts w:hint="default" w:ascii="Times New Roman" w:hAnsi="Times New Roman" w:cs="Times New Roman"/>
          <w:color w:val="auto"/>
        </w:rPr>
      </w:pPr>
      <w:bookmarkStart w:id="132" w:name="_Toc22494"/>
      <w:bookmarkStart w:id="133" w:name="_Toc18051"/>
      <w:bookmarkStart w:id="134" w:name="_Toc116206262"/>
      <w:bookmarkStart w:id="135" w:name="_Toc22563024"/>
      <w:r>
        <w:rPr>
          <w:rFonts w:hint="default" w:ascii="Times New Roman" w:hAnsi="Times New Roman" w:cs="Times New Roman"/>
          <w:color w:val="auto"/>
        </w:rPr>
        <w:t>4.2.1安全检查表法（SCA）</w:t>
      </w:r>
      <w:bookmarkEnd w:id="132"/>
      <w:bookmarkEnd w:id="133"/>
      <w:bookmarkEnd w:id="134"/>
      <w:bookmarkEnd w:id="135"/>
    </w:p>
    <w:p w14:paraId="72759AD1">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cs="Times New Roman"/>
          <w:color w:val="auto"/>
          <w:sz w:val="28"/>
        </w:rPr>
      </w:pPr>
      <w:bookmarkStart w:id="136" w:name="_Toc203533397"/>
      <w:bookmarkStart w:id="137" w:name="_Toc279745908"/>
      <w:bookmarkStart w:id="138" w:name="_Toc193105940"/>
      <w:bookmarkStart w:id="139" w:name="_Toc323727932"/>
      <w:bookmarkStart w:id="140" w:name="_Toc325449024"/>
      <w:r>
        <w:rPr>
          <w:rFonts w:hint="default" w:ascii="Times New Roman" w:hAnsi="Times New Roman" w:cs="Times New Roman"/>
          <w:color w:val="auto"/>
          <w:sz w:val="28"/>
        </w:rPr>
        <w:t>安全检查表法是利用检查条款按照相关的标准、规范对已知危险类别、工艺设施、操作、管理等有关的潜在危险性和有害性进行判别检查</w:t>
      </w:r>
      <w:r>
        <w:rPr>
          <w:rFonts w:hint="eastAsia" w:ascii="Times New Roman" w:hAnsi="Times New Roman" w:cs="Times New Roman"/>
          <w:color w:val="auto"/>
          <w:sz w:val="28"/>
          <w:lang w:eastAsia="zh-CN"/>
        </w:rPr>
        <w:t>，</w:t>
      </w:r>
      <w:r>
        <w:rPr>
          <w:rFonts w:hint="default" w:ascii="Times New Roman" w:hAnsi="Times New Roman" w:cs="Times New Roman"/>
          <w:color w:val="auto"/>
          <w:sz w:val="28"/>
        </w:rPr>
        <w:t>再把检查结果定量化</w:t>
      </w:r>
      <w:r>
        <w:rPr>
          <w:rFonts w:hint="eastAsia" w:ascii="Times New Roman" w:hAnsi="Times New Roman" w:cs="Times New Roman"/>
          <w:color w:val="auto"/>
          <w:sz w:val="28"/>
          <w:lang w:eastAsia="zh-CN"/>
        </w:rPr>
        <w:t>，</w:t>
      </w:r>
      <w:r>
        <w:rPr>
          <w:rFonts w:hint="default" w:ascii="Times New Roman" w:hAnsi="Times New Roman" w:cs="Times New Roman"/>
          <w:color w:val="auto"/>
          <w:sz w:val="28"/>
        </w:rPr>
        <w:t>最后以评价得分值确定安全评价等级。</w:t>
      </w:r>
      <w:bookmarkEnd w:id="136"/>
      <w:bookmarkEnd w:id="137"/>
      <w:bookmarkEnd w:id="138"/>
      <w:bookmarkEnd w:id="139"/>
      <w:bookmarkEnd w:id="140"/>
      <w:bookmarkStart w:id="141" w:name="_Toc22563025"/>
    </w:p>
    <w:p w14:paraId="490D50D6">
      <w:pPr>
        <w:pStyle w:val="5"/>
        <w:bidi w:val="0"/>
        <w:rPr>
          <w:rFonts w:hint="default" w:ascii="Times New Roman" w:hAnsi="Times New Roman" w:cs="Times New Roman"/>
          <w:color w:val="auto"/>
        </w:rPr>
      </w:pPr>
      <w:bookmarkStart w:id="142" w:name="_Toc32083"/>
      <w:bookmarkStart w:id="143" w:name="_Toc10590"/>
      <w:r>
        <w:rPr>
          <w:rFonts w:hint="default" w:ascii="Times New Roman" w:hAnsi="Times New Roman" w:cs="Times New Roman"/>
          <w:color w:val="auto"/>
        </w:rPr>
        <w:t>4.2.2稳定性计算</w:t>
      </w:r>
      <w:bookmarkEnd w:id="141"/>
      <w:bookmarkEnd w:id="142"/>
      <w:bookmarkEnd w:id="143"/>
    </w:p>
    <w:p w14:paraId="0A7A0A0B">
      <w:pPr>
        <w:pageBreakBefore w:val="0"/>
        <w:widowControl w:val="0"/>
        <w:kinsoku/>
        <w:wordWrap/>
        <w:overflowPunct/>
        <w:topLinePunct w:val="0"/>
        <w:autoSpaceDE/>
        <w:autoSpaceDN/>
        <w:bidi w:val="0"/>
        <w:adjustRightInd/>
        <w:snapToGrid/>
        <w:spacing w:line="600" w:lineRule="exact"/>
        <w:ind w:firstLine="537" w:firstLineChars="192"/>
        <w:textAlignment w:val="auto"/>
        <w:rPr>
          <w:rFonts w:hint="default" w:ascii="Times New Roman" w:hAnsi="Times New Roman" w:cs="Times New Roman"/>
          <w:color w:val="auto"/>
          <w:sz w:val="28"/>
        </w:rPr>
      </w:pPr>
      <w:r>
        <w:rPr>
          <w:rFonts w:hint="default" w:ascii="Times New Roman" w:hAnsi="Times New Roman" w:cs="Times New Roman"/>
          <w:color w:val="auto"/>
          <w:sz w:val="28"/>
        </w:rPr>
        <w:t>采用瑞典圆弧法、渗流分析（有限元单元法）或其他稳定性计算方法对坝体在正常和洪水运行情况下的稳定性进行分析</w:t>
      </w:r>
      <w:r>
        <w:rPr>
          <w:rFonts w:hint="eastAsia" w:ascii="Times New Roman" w:hAnsi="Times New Roman" w:cs="Times New Roman"/>
          <w:color w:val="auto"/>
          <w:sz w:val="28"/>
          <w:lang w:eastAsia="zh-CN"/>
        </w:rPr>
        <w:t>，</w:t>
      </w:r>
      <w:r>
        <w:rPr>
          <w:rFonts w:hint="default" w:ascii="Times New Roman" w:hAnsi="Times New Roman" w:cs="Times New Roman"/>
          <w:color w:val="auto"/>
          <w:sz w:val="28"/>
        </w:rPr>
        <w:t>以验证现状及设计最终坝体的稳定性</w:t>
      </w:r>
      <w:r>
        <w:rPr>
          <w:rFonts w:hint="eastAsia" w:ascii="Times New Roman" w:hAnsi="Times New Roman" w:cs="Times New Roman"/>
          <w:color w:val="auto"/>
          <w:sz w:val="28"/>
          <w:lang w:eastAsia="zh-CN"/>
        </w:rPr>
        <w:t>，</w:t>
      </w:r>
      <w:r>
        <w:rPr>
          <w:rFonts w:hint="default" w:ascii="Times New Roman" w:hAnsi="Times New Roman" w:cs="Times New Roman"/>
          <w:color w:val="auto"/>
          <w:sz w:val="28"/>
        </w:rPr>
        <w:t>确定相应技术措施。</w:t>
      </w:r>
    </w:p>
    <w:p w14:paraId="44F2BE4A">
      <w:pPr>
        <w:pStyle w:val="5"/>
        <w:bidi w:val="0"/>
        <w:rPr>
          <w:rFonts w:hint="default" w:ascii="Times New Roman" w:hAnsi="Times New Roman" w:cs="Times New Roman"/>
          <w:color w:val="auto"/>
        </w:rPr>
      </w:pPr>
      <w:bookmarkStart w:id="144" w:name="_Toc22563026"/>
      <w:bookmarkStart w:id="145" w:name="_Toc19932"/>
      <w:bookmarkStart w:id="146" w:name="_Toc23223"/>
      <w:r>
        <w:rPr>
          <w:rFonts w:hint="default" w:ascii="Times New Roman" w:hAnsi="Times New Roman" w:cs="Times New Roman"/>
          <w:color w:val="auto"/>
        </w:rPr>
        <w:t>4.2.3调洪演算</w:t>
      </w:r>
      <w:bookmarkEnd w:id="144"/>
      <w:bookmarkEnd w:id="145"/>
      <w:bookmarkEnd w:id="146"/>
    </w:p>
    <w:p w14:paraId="2B405103">
      <w:pPr>
        <w:pageBreakBefore w:val="0"/>
        <w:widowControl w:val="0"/>
        <w:kinsoku/>
        <w:wordWrap/>
        <w:overflowPunct/>
        <w:topLinePunct w:val="0"/>
        <w:autoSpaceDE/>
        <w:autoSpaceDN/>
        <w:bidi w:val="0"/>
        <w:adjustRightInd/>
        <w:snapToGrid/>
        <w:spacing w:line="600" w:lineRule="exact"/>
        <w:ind w:firstLine="506" w:firstLineChars="192"/>
        <w:textAlignment w:val="auto"/>
        <w:rPr>
          <w:rFonts w:hint="default" w:ascii="Times New Roman" w:hAnsi="Times New Roman" w:cs="Times New Roman"/>
          <w:color w:val="auto"/>
          <w:spacing w:val="-8"/>
          <w:sz w:val="28"/>
        </w:rPr>
      </w:pPr>
      <w:r>
        <w:rPr>
          <w:rFonts w:hint="default" w:ascii="Times New Roman" w:hAnsi="Times New Roman" w:cs="Times New Roman"/>
          <w:color w:val="auto"/>
          <w:spacing w:val="-8"/>
          <w:sz w:val="28"/>
        </w:rPr>
        <w:t>调洪演算的目的是根据既定的排水系统确定所需的调洪库容及泄洪流量。</w:t>
      </w:r>
    </w:p>
    <w:p w14:paraId="1AB575E5">
      <w:pPr>
        <w:rPr>
          <w:rFonts w:hint="default" w:ascii="Times New Roman" w:hAnsi="Times New Roman" w:cs="Times New Roman"/>
          <w:color w:val="auto"/>
        </w:rPr>
      </w:pPr>
      <w:bookmarkStart w:id="147" w:name="_Toc32517"/>
      <w:bookmarkStart w:id="148" w:name="_Toc17445766"/>
      <w:bookmarkStart w:id="149" w:name="_Toc22563028"/>
      <w:r>
        <w:rPr>
          <w:rFonts w:hint="default" w:ascii="Times New Roman" w:hAnsi="Times New Roman" w:cs="Times New Roman"/>
          <w:color w:val="auto"/>
        </w:rPr>
        <w:br w:type="page"/>
      </w:r>
    </w:p>
    <w:p w14:paraId="16A72468">
      <w:pPr>
        <w:pStyle w:val="3"/>
        <w:bidi w:val="0"/>
        <w:rPr>
          <w:rFonts w:hint="default" w:ascii="Times New Roman" w:hAnsi="Times New Roman" w:cs="Times New Roman"/>
          <w:color w:val="auto"/>
        </w:rPr>
      </w:pPr>
      <w:bookmarkStart w:id="150" w:name="_Toc517"/>
      <w:r>
        <w:rPr>
          <w:rFonts w:hint="default" w:ascii="Times New Roman" w:hAnsi="Times New Roman" w:cs="Times New Roman"/>
          <w:color w:val="auto"/>
        </w:rPr>
        <w:t>5</w:t>
      </w:r>
      <w:r>
        <w:rPr>
          <w:rFonts w:hint="default" w:ascii="Times New Roman" w:hAnsi="Times New Roman" w:cs="Times New Roman"/>
          <w:color w:val="auto"/>
          <w:lang w:val="en-US" w:eastAsia="zh-CN"/>
        </w:rPr>
        <w:t>安全</w:t>
      </w:r>
      <w:r>
        <w:rPr>
          <w:rFonts w:hint="default" w:ascii="Times New Roman" w:hAnsi="Times New Roman" w:cs="Times New Roman"/>
          <w:color w:val="auto"/>
        </w:rPr>
        <w:t>评价</w:t>
      </w:r>
      <w:bookmarkEnd w:id="147"/>
      <w:bookmarkEnd w:id="148"/>
      <w:bookmarkEnd w:id="149"/>
      <w:bookmarkEnd w:id="150"/>
    </w:p>
    <w:p w14:paraId="220CB3CD">
      <w:pPr>
        <w:pStyle w:val="4"/>
        <w:bidi w:val="0"/>
        <w:rPr>
          <w:rFonts w:hint="default" w:ascii="Times New Roman" w:hAnsi="Times New Roman" w:cs="Times New Roman"/>
          <w:color w:val="auto"/>
          <w:lang w:val="en-US" w:eastAsia="zh-CN"/>
        </w:rPr>
      </w:pPr>
      <w:bookmarkStart w:id="151" w:name="_Toc9774"/>
      <w:r>
        <w:rPr>
          <w:rFonts w:hint="default" w:ascii="Times New Roman" w:hAnsi="Times New Roman" w:cs="Times New Roman"/>
          <w:color w:val="auto"/>
          <w:lang w:val="en-US" w:eastAsia="zh-CN"/>
        </w:rPr>
        <w:t>5.1安全管理单元</w:t>
      </w:r>
      <w:bookmarkEnd w:id="151"/>
    </w:p>
    <w:p w14:paraId="54F33F98">
      <w:pPr>
        <w:pStyle w:val="5"/>
        <w:bidi w:val="0"/>
        <w:rPr>
          <w:rFonts w:hint="default" w:ascii="Times New Roman" w:hAnsi="Times New Roman" w:cs="Times New Roman"/>
          <w:color w:val="auto"/>
          <w:lang w:val="en-US" w:eastAsia="zh-CN"/>
        </w:rPr>
      </w:pPr>
      <w:bookmarkStart w:id="152" w:name="_Toc8694"/>
      <w:r>
        <w:rPr>
          <w:rFonts w:hint="default" w:ascii="Times New Roman" w:hAnsi="Times New Roman" w:cs="Times New Roman"/>
          <w:color w:val="auto"/>
          <w:lang w:val="en-US" w:eastAsia="zh-CN"/>
        </w:rPr>
        <w:t>5.1.1安全管理单元安全检查表法评价</w:t>
      </w:r>
      <w:bookmarkEnd w:id="152"/>
    </w:p>
    <w:p w14:paraId="76A7FFA2">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运用《江西省尾矿库安全检查表》（已按现行规程规范要求进行了修订</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下同）</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对尾矿库整个系统的安全管理单元进行符合性评判</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具体情况如表5.1.1-1所示</w:t>
      </w:r>
      <w:r>
        <w:rPr>
          <w:rFonts w:hint="eastAsia" w:ascii="Times New Roman" w:hAnsi="Times New Roman" w:cs="Times New Roman"/>
          <w:color w:val="auto"/>
          <w:lang w:val="en-US" w:eastAsia="zh-CN"/>
        </w:rPr>
        <w:t>。</w:t>
      </w:r>
    </w:p>
    <w:p w14:paraId="60E5809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表5.1.1-1安全管理单元安全检查表</w:t>
      </w:r>
    </w:p>
    <w:tbl>
      <w:tblPr>
        <w:tblStyle w:val="17"/>
        <w:tblW w:w="53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672"/>
        <w:gridCol w:w="2324"/>
        <w:gridCol w:w="199"/>
        <w:gridCol w:w="910"/>
        <w:gridCol w:w="1449"/>
        <w:gridCol w:w="1046"/>
        <w:gridCol w:w="746"/>
        <w:gridCol w:w="582"/>
        <w:gridCol w:w="27"/>
        <w:gridCol w:w="1052"/>
        <w:gridCol w:w="729"/>
      </w:tblGrid>
      <w:tr w14:paraId="730D7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noWrap w:val="0"/>
            <w:vAlign w:val="center"/>
          </w:tcPr>
          <w:p w14:paraId="3BFB944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kern w:val="0"/>
                <w:sz w:val="21"/>
                <w:szCs w:val="21"/>
                <w:lang w:val="zh-CN"/>
              </w:rPr>
            </w:pPr>
            <w:r>
              <w:rPr>
                <w:rFonts w:hint="default" w:ascii="Times New Roman" w:hAnsi="Times New Roman" w:eastAsia="宋体" w:cs="Times New Roman"/>
                <w:b/>
                <w:bCs w:val="0"/>
                <w:color w:val="auto"/>
                <w:kern w:val="0"/>
                <w:sz w:val="21"/>
                <w:szCs w:val="21"/>
                <w:lang w:val="zh-CN"/>
              </w:rPr>
              <w:t>项目</w:t>
            </w:r>
          </w:p>
        </w:tc>
        <w:tc>
          <w:tcPr>
            <w:tcW w:w="1762" w:type="pct"/>
            <w:gridSpan w:val="3"/>
            <w:noWrap w:val="0"/>
            <w:vAlign w:val="center"/>
          </w:tcPr>
          <w:p w14:paraId="7AA9A10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kern w:val="0"/>
                <w:sz w:val="21"/>
                <w:szCs w:val="21"/>
                <w:lang w:val="zh-CN"/>
              </w:rPr>
            </w:pPr>
            <w:r>
              <w:rPr>
                <w:rFonts w:hint="default" w:ascii="Times New Roman" w:hAnsi="Times New Roman" w:eastAsia="宋体" w:cs="Times New Roman"/>
                <w:b/>
                <w:bCs w:val="0"/>
                <w:color w:val="auto"/>
                <w:spacing w:val="4"/>
                <w:kern w:val="0"/>
                <w:sz w:val="21"/>
                <w:szCs w:val="21"/>
              </w:rPr>
              <w:t>检查内容</w:t>
            </w:r>
          </w:p>
        </w:tc>
        <w:tc>
          <w:tcPr>
            <w:tcW w:w="743" w:type="pct"/>
            <w:noWrap w:val="0"/>
            <w:vAlign w:val="center"/>
          </w:tcPr>
          <w:p w14:paraId="31B1D8B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kern w:val="0"/>
                <w:sz w:val="21"/>
                <w:szCs w:val="21"/>
                <w:lang w:val="zh-CN"/>
              </w:rPr>
            </w:pPr>
            <w:r>
              <w:rPr>
                <w:rFonts w:hint="default" w:ascii="Times New Roman" w:hAnsi="Times New Roman" w:eastAsia="宋体" w:cs="Times New Roman"/>
                <w:b/>
                <w:bCs w:val="0"/>
                <w:color w:val="auto"/>
                <w:sz w:val="21"/>
                <w:szCs w:val="21"/>
              </w:rPr>
              <w:t>检查依据</w:t>
            </w:r>
          </w:p>
        </w:tc>
        <w:tc>
          <w:tcPr>
            <w:tcW w:w="537" w:type="pct"/>
            <w:noWrap w:val="0"/>
            <w:vAlign w:val="center"/>
          </w:tcPr>
          <w:p w14:paraId="014F4DB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检查方法</w:t>
            </w:r>
          </w:p>
          <w:p w14:paraId="3292763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kern w:val="0"/>
                <w:sz w:val="21"/>
                <w:szCs w:val="21"/>
                <w:lang w:val="zh-CN"/>
              </w:rPr>
            </w:pPr>
            <w:r>
              <w:rPr>
                <w:rFonts w:hint="default" w:ascii="Times New Roman" w:hAnsi="Times New Roman" w:eastAsia="宋体" w:cs="Times New Roman"/>
                <w:b/>
                <w:bCs w:val="0"/>
                <w:color w:val="auto"/>
                <w:sz w:val="21"/>
                <w:szCs w:val="21"/>
              </w:rPr>
              <w:t>及地点</w:t>
            </w:r>
          </w:p>
        </w:tc>
        <w:tc>
          <w:tcPr>
            <w:tcW w:w="383" w:type="pct"/>
            <w:noWrap w:val="0"/>
            <w:vAlign w:val="center"/>
          </w:tcPr>
          <w:p w14:paraId="51B0395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检查</w:t>
            </w:r>
          </w:p>
          <w:p w14:paraId="21A5A68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kern w:val="0"/>
                <w:sz w:val="21"/>
                <w:szCs w:val="21"/>
                <w:lang w:val="zh-CN"/>
              </w:rPr>
            </w:pPr>
            <w:r>
              <w:rPr>
                <w:rFonts w:hint="default" w:ascii="Times New Roman" w:hAnsi="Times New Roman" w:eastAsia="宋体" w:cs="Times New Roman"/>
                <w:b/>
                <w:bCs w:val="0"/>
                <w:color w:val="auto"/>
                <w:sz w:val="21"/>
                <w:szCs w:val="21"/>
              </w:rPr>
              <w:t>记录</w:t>
            </w:r>
          </w:p>
        </w:tc>
        <w:tc>
          <w:tcPr>
            <w:tcW w:w="299" w:type="pct"/>
            <w:noWrap w:val="0"/>
            <w:vAlign w:val="center"/>
          </w:tcPr>
          <w:p w14:paraId="57A1404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kern w:val="0"/>
                <w:sz w:val="21"/>
                <w:szCs w:val="21"/>
                <w:lang w:val="zh-CN"/>
              </w:rPr>
            </w:pPr>
            <w:r>
              <w:rPr>
                <w:rFonts w:hint="default" w:ascii="Times New Roman" w:hAnsi="Times New Roman" w:eastAsia="宋体" w:cs="Times New Roman"/>
                <w:b/>
                <w:bCs w:val="0"/>
                <w:color w:val="auto"/>
                <w:kern w:val="0"/>
                <w:sz w:val="21"/>
                <w:szCs w:val="21"/>
                <w:lang w:val="zh-CN"/>
              </w:rPr>
              <w:t>标准</w:t>
            </w:r>
          </w:p>
          <w:p w14:paraId="7CF6D65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kern w:val="0"/>
                <w:sz w:val="21"/>
                <w:szCs w:val="21"/>
                <w:lang w:val="zh-CN"/>
              </w:rPr>
            </w:pPr>
            <w:r>
              <w:rPr>
                <w:rFonts w:hint="default" w:ascii="Times New Roman" w:hAnsi="Times New Roman" w:eastAsia="宋体" w:cs="Times New Roman"/>
                <w:b/>
                <w:bCs w:val="0"/>
                <w:color w:val="auto"/>
                <w:kern w:val="0"/>
                <w:sz w:val="21"/>
                <w:szCs w:val="21"/>
                <w:lang w:val="zh-CN"/>
              </w:rPr>
              <w:t>分值</w:t>
            </w:r>
          </w:p>
        </w:tc>
        <w:tc>
          <w:tcPr>
            <w:tcW w:w="554" w:type="pct"/>
            <w:gridSpan w:val="2"/>
            <w:noWrap w:val="0"/>
            <w:vAlign w:val="center"/>
          </w:tcPr>
          <w:p w14:paraId="6D24F9C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kern w:val="0"/>
                <w:sz w:val="21"/>
                <w:szCs w:val="21"/>
                <w:lang w:val="zh-CN"/>
              </w:rPr>
            </w:pPr>
            <w:r>
              <w:rPr>
                <w:rFonts w:hint="default" w:ascii="Times New Roman" w:hAnsi="Times New Roman" w:eastAsia="宋体" w:cs="Times New Roman"/>
                <w:b/>
                <w:bCs w:val="0"/>
                <w:color w:val="auto"/>
                <w:kern w:val="0"/>
                <w:sz w:val="21"/>
                <w:szCs w:val="21"/>
                <w:lang w:val="zh-CN"/>
              </w:rPr>
              <w:t>评分</w:t>
            </w:r>
          </w:p>
          <w:p w14:paraId="26435A9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kern w:val="0"/>
                <w:sz w:val="21"/>
                <w:szCs w:val="21"/>
                <w:lang w:val="zh-CN"/>
              </w:rPr>
            </w:pPr>
            <w:r>
              <w:rPr>
                <w:rFonts w:hint="default" w:ascii="Times New Roman" w:hAnsi="Times New Roman" w:eastAsia="宋体" w:cs="Times New Roman"/>
                <w:b/>
                <w:bCs w:val="0"/>
                <w:color w:val="auto"/>
                <w:kern w:val="0"/>
                <w:sz w:val="21"/>
                <w:szCs w:val="21"/>
                <w:lang w:val="zh-CN"/>
              </w:rPr>
              <w:t>标准</w:t>
            </w:r>
          </w:p>
        </w:tc>
        <w:tc>
          <w:tcPr>
            <w:tcW w:w="374" w:type="pct"/>
            <w:noWrap w:val="0"/>
            <w:vAlign w:val="center"/>
          </w:tcPr>
          <w:p w14:paraId="5A7B912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
                <w:bCs w:val="0"/>
                <w:color w:val="auto"/>
                <w:kern w:val="0"/>
                <w:sz w:val="21"/>
                <w:szCs w:val="21"/>
                <w:lang w:val="zh-CN"/>
              </w:rPr>
            </w:pPr>
            <w:r>
              <w:rPr>
                <w:rFonts w:hint="default" w:ascii="Times New Roman" w:hAnsi="Times New Roman" w:eastAsia="宋体" w:cs="Times New Roman"/>
                <w:b/>
                <w:bCs w:val="0"/>
                <w:color w:val="auto"/>
                <w:kern w:val="0"/>
                <w:sz w:val="21"/>
                <w:szCs w:val="21"/>
                <w:lang w:val="zh-CN"/>
              </w:rPr>
              <w:t>得分</w:t>
            </w:r>
          </w:p>
        </w:tc>
      </w:tr>
      <w:tr w14:paraId="4FAA2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noWrap w:val="0"/>
            <w:vAlign w:val="center"/>
          </w:tcPr>
          <w:p w14:paraId="2509B12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w:t>
            </w:r>
          </w:p>
          <w:p w14:paraId="6E1CC35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安全</w:t>
            </w:r>
          </w:p>
          <w:p w14:paraId="2DCBD18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许可</w:t>
            </w:r>
          </w:p>
        </w:tc>
        <w:tc>
          <w:tcPr>
            <w:tcW w:w="1762" w:type="pct"/>
            <w:gridSpan w:val="3"/>
            <w:noWrap w:val="0"/>
            <w:vAlign w:val="center"/>
          </w:tcPr>
          <w:p w14:paraId="43C27B2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1.1安全生产许可证合法性。</w:t>
            </w:r>
          </w:p>
          <w:p w14:paraId="4C7F863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1.2安全生产许可证有效性。</w:t>
            </w:r>
          </w:p>
          <w:p w14:paraId="1D05C86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1.3安全生产许可证</w:t>
            </w:r>
            <w:r>
              <w:rPr>
                <w:rFonts w:hint="default" w:ascii="Times New Roman" w:hAnsi="Times New Roman" w:eastAsia="宋体" w:cs="Times New Roman"/>
                <w:bCs/>
                <w:color w:val="auto"/>
                <w:kern w:val="0"/>
                <w:sz w:val="21"/>
                <w:szCs w:val="21"/>
                <w:lang w:val="zh-CN"/>
              </w:rPr>
              <w:t>是否年检。</w:t>
            </w:r>
          </w:p>
        </w:tc>
        <w:tc>
          <w:tcPr>
            <w:tcW w:w="743" w:type="pct"/>
            <w:noWrap w:val="0"/>
            <w:vAlign w:val="center"/>
          </w:tcPr>
          <w:p w14:paraId="4F592D5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《安全生产许可证条例》第二条</w:t>
            </w:r>
          </w:p>
        </w:tc>
        <w:tc>
          <w:tcPr>
            <w:tcW w:w="537" w:type="pct"/>
            <w:noWrap w:val="0"/>
            <w:vAlign w:val="center"/>
          </w:tcPr>
          <w:p w14:paraId="2AB1DE2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查有效</w:t>
            </w:r>
          </w:p>
          <w:p w14:paraId="1CB0440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证件</w:t>
            </w:r>
          </w:p>
        </w:tc>
        <w:tc>
          <w:tcPr>
            <w:tcW w:w="383" w:type="pct"/>
            <w:noWrap w:val="0"/>
            <w:vAlign w:val="center"/>
          </w:tcPr>
          <w:p w14:paraId="38EE498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目前已取得新证，在有效期内</w:t>
            </w:r>
          </w:p>
        </w:tc>
        <w:tc>
          <w:tcPr>
            <w:tcW w:w="299" w:type="pct"/>
            <w:noWrap w:val="0"/>
            <w:vAlign w:val="center"/>
          </w:tcPr>
          <w:p w14:paraId="0E31724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554" w:type="pct"/>
            <w:gridSpan w:val="2"/>
            <w:vMerge w:val="restart"/>
            <w:noWrap w:val="0"/>
            <w:vAlign w:val="center"/>
          </w:tcPr>
          <w:p w14:paraId="65FAE7C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任一项</w:t>
            </w:r>
          </w:p>
          <w:p w14:paraId="04453CB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不符合</w:t>
            </w:r>
          </w:p>
          <w:p w14:paraId="2492F8F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即否决</w:t>
            </w:r>
          </w:p>
        </w:tc>
        <w:tc>
          <w:tcPr>
            <w:tcW w:w="374" w:type="pct"/>
            <w:noWrap w:val="0"/>
            <w:vAlign w:val="center"/>
          </w:tcPr>
          <w:p w14:paraId="36FFF08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kern w:val="0"/>
                <w:sz w:val="24"/>
                <w:lang w:val="zh-CN"/>
              </w:rPr>
              <w:t>/</w:t>
            </w:r>
          </w:p>
        </w:tc>
      </w:tr>
      <w:tr w14:paraId="21BCB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restart"/>
            <w:noWrap w:val="0"/>
            <w:vAlign w:val="center"/>
          </w:tcPr>
          <w:p w14:paraId="783B67C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p w14:paraId="354EB3E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设计</w:t>
            </w:r>
          </w:p>
          <w:p w14:paraId="125F3DF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与</w:t>
            </w:r>
          </w:p>
          <w:p w14:paraId="1564BC8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评价</w:t>
            </w:r>
          </w:p>
        </w:tc>
        <w:tc>
          <w:tcPr>
            <w:tcW w:w="1762" w:type="pct"/>
            <w:gridSpan w:val="3"/>
            <w:noWrap w:val="0"/>
            <w:vAlign w:val="top"/>
          </w:tcPr>
          <w:p w14:paraId="23EA617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2.1尾矿库的勘察、设计、安全评价、施工及施工监理等工作必须由具有相应资质的单位承担。</w:t>
            </w:r>
          </w:p>
        </w:tc>
        <w:tc>
          <w:tcPr>
            <w:tcW w:w="743" w:type="pct"/>
            <w:noWrap w:val="0"/>
            <w:vAlign w:val="center"/>
          </w:tcPr>
          <w:p w14:paraId="69CB75A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《尾矿库安全监督管理规定》第十条</w:t>
            </w:r>
          </w:p>
        </w:tc>
        <w:tc>
          <w:tcPr>
            <w:tcW w:w="537" w:type="pct"/>
            <w:noWrap w:val="0"/>
            <w:vAlign w:val="center"/>
          </w:tcPr>
          <w:p w14:paraId="44B1B3D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查设计文件、有效证书</w:t>
            </w:r>
          </w:p>
        </w:tc>
        <w:tc>
          <w:tcPr>
            <w:tcW w:w="383" w:type="pct"/>
            <w:noWrap w:val="0"/>
            <w:vAlign w:val="center"/>
          </w:tcPr>
          <w:p w14:paraId="7BDE9DF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w:t>
            </w:r>
          </w:p>
        </w:tc>
        <w:tc>
          <w:tcPr>
            <w:tcW w:w="299" w:type="pct"/>
            <w:noWrap w:val="0"/>
            <w:vAlign w:val="center"/>
          </w:tcPr>
          <w:p w14:paraId="3159652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554" w:type="pct"/>
            <w:gridSpan w:val="2"/>
            <w:vMerge w:val="continue"/>
            <w:noWrap w:val="0"/>
            <w:vAlign w:val="top"/>
          </w:tcPr>
          <w:p w14:paraId="2E0BAE7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74" w:type="pct"/>
            <w:noWrap w:val="0"/>
            <w:vAlign w:val="center"/>
          </w:tcPr>
          <w:p w14:paraId="3476CC4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kern w:val="0"/>
                <w:sz w:val="24"/>
                <w:lang w:val="zh-CN"/>
              </w:rPr>
              <w:t>符合</w:t>
            </w:r>
          </w:p>
        </w:tc>
      </w:tr>
      <w:tr w14:paraId="456DC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54F02D6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762" w:type="pct"/>
            <w:gridSpan w:val="3"/>
            <w:noWrap w:val="0"/>
            <w:vAlign w:val="top"/>
          </w:tcPr>
          <w:p w14:paraId="20E60C3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2.2尾矿坝堆积至设计最终坝高的1/2～2/3高度时</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应对尾矿堆积坝进行工勘和稳定性分析。</w:t>
            </w:r>
          </w:p>
        </w:tc>
        <w:tc>
          <w:tcPr>
            <w:tcW w:w="743" w:type="pct"/>
            <w:noWrap w:val="0"/>
            <w:vAlign w:val="center"/>
          </w:tcPr>
          <w:p w14:paraId="5AC88C9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《尾矿库安全规程》第6.1.9条</w:t>
            </w:r>
          </w:p>
        </w:tc>
        <w:tc>
          <w:tcPr>
            <w:tcW w:w="537" w:type="pct"/>
            <w:noWrap w:val="0"/>
            <w:vAlign w:val="center"/>
          </w:tcPr>
          <w:p w14:paraId="3054F5A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查工勘和稳定性分析文件</w:t>
            </w:r>
          </w:p>
        </w:tc>
        <w:tc>
          <w:tcPr>
            <w:tcW w:w="383" w:type="pct"/>
            <w:noWrap w:val="0"/>
            <w:vAlign w:val="center"/>
          </w:tcPr>
          <w:p w14:paraId="18F0BCB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left"/>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zh-CN"/>
              </w:rPr>
              <w:t>有工勘和稳定性分析</w:t>
            </w:r>
            <w:r>
              <w:rPr>
                <w:rFonts w:hint="default" w:ascii="Times New Roman" w:hAnsi="Times New Roman" w:eastAsia="宋体" w:cs="Times New Roman"/>
                <w:color w:val="auto"/>
                <w:kern w:val="0"/>
                <w:sz w:val="21"/>
                <w:szCs w:val="21"/>
                <w:lang w:val="en-US" w:eastAsia="zh-CN"/>
              </w:rPr>
              <w:t>报告。</w:t>
            </w:r>
          </w:p>
        </w:tc>
        <w:tc>
          <w:tcPr>
            <w:tcW w:w="299" w:type="pct"/>
            <w:noWrap w:val="0"/>
            <w:vAlign w:val="center"/>
          </w:tcPr>
          <w:p w14:paraId="4E7E22E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554" w:type="pct"/>
            <w:gridSpan w:val="2"/>
            <w:noWrap w:val="0"/>
            <w:vAlign w:val="top"/>
          </w:tcPr>
          <w:p w14:paraId="2E6BEF1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74" w:type="pct"/>
            <w:noWrap w:val="0"/>
            <w:vAlign w:val="center"/>
          </w:tcPr>
          <w:p w14:paraId="383149E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kern w:val="0"/>
                <w:sz w:val="24"/>
                <w:lang w:val="zh-CN"/>
              </w:rPr>
              <w:t>符合</w:t>
            </w:r>
          </w:p>
        </w:tc>
      </w:tr>
      <w:tr w14:paraId="6689C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58F449C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762" w:type="pct"/>
            <w:gridSpan w:val="3"/>
            <w:noWrap w:val="0"/>
            <w:vAlign w:val="center"/>
          </w:tcPr>
          <w:p w14:paraId="4F9F5162">
            <w:pPr>
              <w:keepNext w:val="0"/>
              <w:keepLines w:val="0"/>
              <w:pageBreakBefore w:val="0"/>
              <w:widowControl w:val="0"/>
              <w:kinsoku/>
              <w:wordWrap/>
              <w:overflowPunct/>
              <w:topLinePunct w:val="0"/>
              <w:bidi w:val="0"/>
              <w:adjustRightInd w:val="0"/>
              <w:snapToGrid/>
              <w:spacing w:line="292"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2.3在用尾矿库进行回采再利用或闭库、停用的尾矿库重新启用或改作他用时</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必须按照尾矿库建设的规定进行工程设计、安全评价和审批。</w:t>
            </w:r>
          </w:p>
        </w:tc>
        <w:tc>
          <w:tcPr>
            <w:tcW w:w="743" w:type="pct"/>
            <w:vMerge w:val="restart"/>
            <w:noWrap w:val="0"/>
            <w:vAlign w:val="center"/>
          </w:tcPr>
          <w:p w14:paraId="4029815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《尾矿库安全规程》第4.1、7.1、7.2、7.10、8.2条；《尾矿库安全监督管理规定》第二十七条</w:t>
            </w:r>
          </w:p>
        </w:tc>
        <w:tc>
          <w:tcPr>
            <w:tcW w:w="537" w:type="pct"/>
            <w:vMerge w:val="restart"/>
            <w:noWrap w:val="0"/>
            <w:vAlign w:val="center"/>
          </w:tcPr>
          <w:p w14:paraId="7FF6535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1.查有关资料、文件、制度及规程、规范</w:t>
            </w:r>
          </w:p>
          <w:p w14:paraId="2674542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2.查工勘和稳定性分析文件</w:t>
            </w:r>
          </w:p>
        </w:tc>
        <w:tc>
          <w:tcPr>
            <w:tcW w:w="383" w:type="pct"/>
            <w:vMerge w:val="restart"/>
            <w:noWrap w:val="0"/>
            <w:vAlign w:val="center"/>
          </w:tcPr>
          <w:p w14:paraId="050693C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无此项</w:t>
            </w:r>
          </w:p>
        </w:tc>
        <w:tc>
          <w:tcPr>
            <w:tcW w:w="299" w:type="pct"/>
            <w:vMerge w:val="restart"/>
            <w:noWrap w:val="0"/>
            <w:vAlign w:val="center"/>
          </w:tcPr>
          <w:p w14:paraId="325A42C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554" w:type="pct"/>
            <w:gridSpan w:val="2"/>
            <w:noWrap w:val="0"/>
            <w:vAlign w:val="top"/>
          </w:tcPr>
          <w:p w14:paraId="53BEC7F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74" w:type="pct"/>
            <w:noWrap w:val="0"/>
            <w:vAlign w:val="center"/>
          </w:tcPr>
          <w:p w14:paraId="2FAF9F3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kern w:val="0"/>
                <w:sz w:val="24"/>
                <w:lang w:val="zh-CN"/>
              </w:rPr>
              <w:t>/</w:t>
            </w:r>
          </w:p>
        </w:tc>
      </w:tr>
      <w:tr w14:paraId="43DB1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45" w:type="pct"/>
            <w:vMerge w:val="continue"/>
            <w:noWrap w:val="0"/>
            <w:vAlign w:val="center"/>
          </w:tcPr>
          <w:p w14:paraId="525A1FD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762" w:type="pct"/>
            <w:gridSpan w:val="3"/>
            <w:noWrap w:val="0"/>
            <w:vAlign w:val="center"/>
          </w:tcPr>
          <w:p w14:paraId="49A4BA46">
            <w:pPr>
              <w:keepNext w:val="0"/>
              <w:keepLines w:val="0"/>
              <w:pageBreakBefore w:val="0"/>
              <w:widowControl w:val="0"/>
              <w:kinsoku/>
              <w:wordWrap/>
              <w:overflowPunct/>
              <w:topLinePunct w:val="0"/>
              <w:bidi w:val="0"/>
              <w:adjustRightInd w:val="0"/>
              <w:snapToGrid/>
              <w:spacing w:line="292" w:lineRule="exact"/>
              <w:ind w:firstLine="0" w:firstLineChars="0"/>
              <w:jc w:val="left"/>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2.4进行回采再利用时</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必须严格按照批准的设计规划进行回采、排砂和排水</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 xml:space="preserve">不得影响继续使用的尾矿坝和排洪设施的安全。 </w:t>
            </w:r>
          </w:p>
        </w:tc>
        <w:tc>
          <w:tcPr>
            <w:tcW w:w="743" w:type="pct"/>
            <w:vMerge w:val="continue"/>
            <w:noWrap w:val="0"/>
            <w:vAlign w:val="center"/>
          </w:tcPr>
          <w:p w14:paraId="3CAD974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sz w:val="21"/>
                <w:szCs w:val="21"/>
              </w:rPr>
            </w:pPr>
          </w:p>
        </w:tc>
        <w:tc>
          <w:tcPr>
            <w:tcW w:w="537" w:type="pct"/>
            <w:vMerge w:val="continue"/>
            <w:noWrap w:val="0"/>
            <w:vAlign w:val="center"/>
          </w:tcPr>
          <w:p w14:paraId="55073E3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83" w:type="pct"/>
            <w:vMerge w:val="continue"/>
            <w:noWrap w:val="0"/>
            <w:vAlign w:val="center"/>
          </w:tcPr>
          <w:p w14:paraId="5890FA6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99" w:type="pct"/>
            <w:vMerge w:val="continue"/>
            <w:noWrap w:val="0"/>
            <w:vAlign w:val="center"/>
          </w:tcPr>
          <w:p w14:paraId="0C1DED5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54" w:type="pct"/>
            <w:gridSpan w:val="2"/>
            <w:noWrap w:val="0"/>
            <w:vAlign w:val="top"/>
          </w:tcPr>
          <w:p w14:paraId="5BC1899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无设计或设计未经批准的否决</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出现影响安全的倒扣6分</w:t>
            </w:r>
          </w:p>
        </w:tc>
        <w:tc>
          <w:tcPr>
            <w:tcW w:w="374" w:type="pct"/>
            <w:noWrap w:val="0"/>
            <w:vAlign w:val="center"/>
          </w:tcPr>
          <w:p w14:paraId="3AE501F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kern w:val="0"/>
                <w:sz w:val="24"/>
                <w:lang w:val="zh-CN"/>
              </w:rPr>
              <w:t>/</w:t>
            </w:r>
          </w:p>
        </w:tc>
      </w:tr>
      <w:tr w14:paraId="57AE8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restart"/>
            <w:noWrap w:val="0"/>
            <w:vAlign w:val="center"/>
          </w:tcPr>
          <w:p w14:paraId="4C428AB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w:t>
            </w:r>
          </w:p>
          <w:p w14:paraId="2648A34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安全</w:t>
            </w:r>
          </w:p>
          <w:p w14:paraId="10C5241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管理</w:t>
            </w:r>
          </w:p>
          <w:p w14:paraId="76A9E8D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br w:type="page"/>
            </w:r>
          </w:p>
          <w:p w14:paraId="774595E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070709E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04578F4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2A773FA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3F7EE7F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154A99C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1DB2895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32CB851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1F36135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025757C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713420F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3B4D923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66A5C42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52C217C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6ABD491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596F04C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396D8A8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69919AD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0479561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5FB85E5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7A1155C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3EBABA6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729D175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61BFD15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0606D55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3C7FB26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4F594CD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4ABA977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11FB757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17CA7EA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0017F7B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p w14:paraId="0915220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kern w:val="0"/>
                <w:sz w:val="24"/>
                <w:lang w:val="zh-CN"/>
              </w:rPr>
              <w:t>3．</w:t>
            </w:r>
          </w:p>
          <w:p w14:paraId="4F0C3F2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kern w:val="0"/>
                <w:sz w:val="24"/>
                <w:lang w:val="zh-CN"/>
              </w:rPr>
              <w:t>安全</w:t>
            </w:r>
          </w:p>
          <w:p w14:paraId="2E57341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kern w:val="0"/>
                <w:sz w:val="24"/>
                <w:lang w:val="zh-CN"/>
              </w:rPr>
              <w:t>管理</w:t>
            </w:r>
          </w:p>
        </w:tc>
        <w:tc>
          <w:tcPr>
            <w:tcW w:w="1762" w:type="pct"/>
            <w:gridSpan w:val="3"/>
            <w:noWrap w:val="0"/>
            <w:vAlign w:val="center"/>
          </w:tcPr>
          <w:p w14:paraId="684CB96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3.1应有实测的尾矿库现状图（尾矿坝平、剖面图、排洪及排水设施系统图</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实测图纸有效期为六个月内）及尾矿年排放计划</w:t>
            </w:r>
            <w:r>
              <w:rPr>
                <w:rFonts w:hint="default" w:ascii="Times New Roman" w:hAnsi="Times New Roman" w:cs="Times New Roman"/>
                <w:color w:val="auto"/>
                <w:kern w:val="0"/>
                <w:sz w:val="21"/>
                <w:szCs w:val="21"/>
                <w:lang w:val="zh-CN"/>
              </w:rPr>
              <w:t>。</w:t>
            </w:r>
          </w:p>
        </w:tc>
        <w:tc>
          <w:tcPr>
            <w:tcW w:w="743" w:type="pct"/>
            <w:noWrap w:val="0"/>
            <w:vAlign w:val="center"/>
          </w:tcPr>
          <w:p w14:paraId="4728810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《尾矿库安全规程》第11.1.3条</w:t>
            </w:r>
          </w:p>
        </w:tc>
        <w:tc>
          <w:tcPr>
            <w:tcW w:w="537" w:type="pct"/>
            <w:noWrap w:val="0"/>
            <w:vAlign w:val="center"/>
          </w:tcPr>
          <w:p w14:paraId="345FA63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both"/>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对照设计、现状查图纸资料</w:t>
            </w:r>
          </w:p>
        </w:tc>
        <w:tc>
          <w:tcPr>
            <w:tcW w:w="383" w:type="pct"/>
            <w:noWrap w:val="0"/>
            <w:vAlign w:val="center"/>
          </w:tcPr>
          <w:p w14:paraId="09FA417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zh-CN"/>
              </w:rPr>
              <w:t>有</w:t>
            </w:r>
            <w:r>
              <w:rPr>
                <w:rFonts w:hint="default" w:ascii="Times New Roman" w:hAnsi="Times New Roman" w:eastAsia="宋体" w:cs="Times New Roman"/>
                <w:color w:val="auto"/>
                <w:kern w:val="0"/>
                <w:sz w:val="21"/>
                <w:szCs w:val="21"/>
                <w:lang w:val="en-US" w:eastAsia="zh-CN"/>
              </w:rPr>
              <w:t>图纸、无年排放计划</w:t>
            </w:r>
          </w:p>
        </w:tc>
        <w:tc>
          <w:tcPr>
            <w:tcW w:w="299" w:type="pct"/>
            <w:noWrap w:val="0"/>
            <w:vAlign w:val="center"/>
          </w:tcPr>
          <w:p w14:paraId="519FEB0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554" w:type="pct"/>
            <w:gridSpan w:val="2"/>
            <w:noWrap w:val="0"/>
            <w:vAlign w:val="center"/>
          </w:tcPr>
          <w:p w14:paraId="3A4053F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无图纸的否决</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无计划的倒扣3分</w:t>
            </w:r>
          </w:p>
        </w:tc>
        <w:tc>
          <w:tcPr>
            <w:tcW w:w="374" w:type="pct"/>
            <w:noWrap w:val="0"/>
            <w:vAlign w:val="center"/>
          </w:tcPr>
          <w:p w14:paraId="1987791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-3</w:t>
            </w:r>
          </w:p>
        </w:tc>
      </w:tr>
      <w:tr w14:paraId="6ADE5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457C63C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762" w:type="pct"/>
            <w:gridSpan w:val="3"/>
            <w:noWrap w:val="0"/>
            <w:vAlign w:val="center"/>
          </w:tcPr>
          <w:p w14:paraId="756028A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3.2建立和健全各级各岗位人员安全生产责任制</w:t>
            </w:r>
            <w:r>
              <w:rPr>
                <w:rFonts w:hint="default" w:ascii="Times New Roman" w:hAnsi="Times New Roman" w:cs="Times New Roman"/>
                <w:color w:val="auto"/>
                <w:kern w:val="0"/>
                <w:sz w:val="21"/>
                <w:szCs w:val="21"/>
                <w:lang w:val="zh-CN"/>
              </w:rPr>
              <w:t>。</w:t>
            </w:r>
          </w:p>
          <w:p w14:paraId="1570A26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3.2.1尾矿库主要负责人安全生产责任制；</w:t>
            </w:r>
          </w:p>
          <w:p w14:paraId="0A01AE7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3.2.2尾矿库分管负责人安全生产责任制；</w:t>
            </w:r>
          </w:p>
          <w:p w14:paraId="749EDAA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3.2.3尾矿库安全生产管理人员安全生产责任制；</w:t>
            </w:r>
          </w:p>
          <w:p w14:paraId="3ACB017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3.2.4尾矿库职能管理部门安全生产责任制；</w:t>
            </w:r>
          </w:p>
          <w:p w14:paraId="1136509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3.2.5尾矿工岗位安全生产责任制。</w:t>
            </w:r>
          </w:p>
        </w:tc>
        <w:tc>
          <w:tcPr>
            <w:tcW w:w="743" w:type="pct"/>
            <w:noWrap w:val="0"/>
            <w:vAlign w:val="center"/>
          </w:tcPr>
          <w:p w14:paraId="7C35FEA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《尾矿库安全规程》第6.1.1条；《安全生产法》《安全生产许可征条例》国家安监局、煤监局第9号令；《金属非金属矿山安全规程》第4.1.2条</w:t>
            </w:r>
          </w:p>
        </w:tc>
        <w:tc>
          <w:tcPr>
            <w:tcW w:w="537" w:type="pct"/>
            <w:noWrap w:val="0"/>
            <w:vAlign w:val="center"/>
          </w:tcPr>
          <w:p w14:paraId="1E12061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1.查有关资料、文件、制度及规程、规范</w:t>
            </w:r>
          </w:p>
          <w:p w14:paraId="6783B48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2.查有效证件、证书</w:t>
            </w:r>
          </w:p>
        </w:tc>
        <w:tc>
          <w:tcPr>
            <w:tcW w:w="383" w:type="pct"/>
            <w:noWrap w:val="0"/>
            <w:vAlign w:val="center"/>
          </w:tcPr>
          <w:p w14:paraId="05152EC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已建立</w:t>
            </w:r>
          </w:p>
        </w:tc>
        <w:tc>
          <w:tcPr>
            <w:tcW w:w="313" w:type="pct"/>
            <w:gridSpan w:val="2"/>
            <w:noWrap w:val="0"/>
            <w:vAlign w:val="center"/>
          </w:tcPr>
          <w:p w14:paraId="17392A8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10</w:t>
            </w:r>
          </w:p>
        </w:tc>
        <w:tc>
          <w:tcPr>
            <w:tcW w:w="540" w:type="pct"/>
            <w:noWrap w:val="0"/>
            <w:vAlign w:val="center"/>
          </w:tcPr>
          <w:p w14:paraId="1C0311E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缺1项</w:t>
            </w:r>
          </w:p>
          <w:p w14:paraId="7B930DF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扣2分</w:t>
            </w:r>
          </w:p>
        </w:tc>
        <w:tc>
          <w:tcPr>
            <w:tcW w:w="374" w:type="pct"/>
            <w:noWrap w:val="0"/>
            <w:vAlign w:val="center"/>
          </w:tcPr>
          <w:p w14:paraId="20571AF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en-US" w:eastAsia="zh-CN"/>
              </w:rPr>
            </w:pPr>
            <w:r>
              <w:rPr>
                <w:rFonts w:hint="eastAsia" w:ascii="Times New Roman" w:hAnsi="Times New Roman" w:cs="Times New Roman"/>
                <w:color w:val="auto"/>
                <w:kern w:val="0"/>
                <w:sz w:val="24"/>
                <w:lang w:val="en-US" w:eastAsia="zh-CN"/>
              </w:rPr>
              <w:t>10</w:t>
            </w:r>
          </w:p>
        </w:tc>
      </w:tr>
      <w:tr w14:paraId="1BB5A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16B68EA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762" w:type="pct"/>
            <w:gridSpan w:val="3"/>
            <w:noWrap w:val="0"/>
            <w:vAlign w:val="center"/>
          </w:tcPr>
          <w:p w14:paraId="3B5F673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3.3企业应建立各项安全生产管理规章制度</w:t>
            </w:r>
          </w:p>
          <w:p w14:paraId="014781D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3.3.1尾矿库日常和定期的检查制度；</w:t>
            </w:r>
          </w:p>
          <w:p w14:paraId="2224F38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3.3.2尾矿库应急管理制度</w:t>
            </w:r>
          </w:p>
          <w:p w14:paraId="78F7E9D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3.3.3隐患排查与整改制度；</w:t>
            </w:r>
          </w:p>
          <w:p w14:paraId="51E523B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3.3.4特殊状况安全检查制度；</w:t>
            </w:r>
          </w:p>
          <w:p w14:paraId="678FDAF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3.3.5安全评价制度；</w:t>
            </w:r>
          </w:p>
          <w:p w14:paraId="21E220A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3.3.6尾矿库事故管理制度；</w:t>
            </w:r>
          </w:p>
          <w:p w14:paraId="47F389E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3.3.7监控、监测制度。</w:t>
            </w:r>
          </w:p>
        </w:tc>
        <w:tc>
          <w:tcPr>
            <w:tcW w:w="743" w:type="pct"/>
            <w:vMerge w:val="restart"/>
            <w:noWrap w:val="0"/>
            <w:vAlign w:val="center"/>
          </w:tcPr>
          <w:p w14:paraId="6E7EB8E9">
            <w:pPr>
              <w:keepNext w:val="0"/>
              <w:keepLines w:val="0"/>
              <w:pageBreakBefore w:val="0"/>
              <w:widowControl w:val="0"/>
              <w:kinsoku/>
              <w:wordWrap/>
              <w:overflowPunct/>
              <w:topLinePunct w:val="0"/>
              <w:bidi w:val="0"/>
              <w:adjustRightInd w:val="0"/>
              <w:snapToGrid/>
              <w:spacing w:line="292"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6.1.1条；《安全生产许可征条例》；《金属非金属矿山安全规程》第4.1.2、4.2.2、4.2.3、4.3.1、4.5.1、4.5.5、4.4.2、4.1.8条；《特种作业人员安全技术培训考核管理规定》；《财政部安全监管总局关于印发〈企业安全生产费用提取和使用管理办法〉的通知》；《国家安全监管总局办公厅关于修改用人单位劳动防护用品管理规范的通知》《安全生产许可征条例》《江西省安全生产委员会关于在全省高危行业领域实施安全生产责任保险制度的指导意见》</w:t>
            </w:r>
          </w:p>
        </w:tc>
        <w:tc>
          <w:tcPr>
            <w:tcW w:w="537" w:type="pct"/>
            <w:vMerge w:val="restart"/>
            <w:noWrap w:val="0"/>
            <w:vAlign w:val="center"/>
          </w:tcPr>
          <w:p w14:paraId="0E2BC3F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1.查有关资料、文件、制度及规程、规范</w:t>
            </w:r>
          </w:p>
          <w:p w14:paraId="3223081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2.查有效证件、证书</w:t>
            </w:r>
          </w:p>
          <w:p w14:paraId="59FD732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83" w:type="pct"/>
            <w:noWrap w:val="0"/>
            <w:vAlign w:val="center"/>
          </w:tcPr>
          <w:p w14:paraId="0F7AF28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部分有</w:t>
            </w:r>
          </w:p>
        </w:tc>
        <w:tc>
          <w:tcPr>
            <w:tcW w:w="313" w:type="pct"/>
            <w:gridSpan w:val="2"/>
            <w:noWrap w:val="0"/>
            <w:vAlign w:val="center"/>
          </w:tcPr>
          <w:p w14:paraId="4D110C1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14</w:t>
            </w:r>
          </w:p>
        </w:tc>
        <w:tc>
          <w:tcPr>
            <w:tcW w:w="540" w:type="pct"/>
            <w:noWrap w:val="0"/>
            <w:vAlign w:val="center"/>
          </w:tcPr>
          <w:p w14:paraId="35F74DF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制度缺1项扣1分；1项制度未运行或运行差扣1分</w:t>
            </w:r>
          </w:p>
        </w:tc>
        <w:tc>
          <w:tcPr>
            <w:tcW w:w="374" w:type="pct"/>
            <w:noWrap w:val="0"/>
            <w:vAlign w:val="center"/>
          </w:tcPr>
          <w:p w14:paraId="094B84E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10</w:t>
            </w:r>
          </w:p>
        </w:tc>
      </w:tr>
      <w:tr w14:paraId="53F1C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4A38D3D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762" w:type="pct"/>
            <w:gridSpan w:val="3"/>
            <w:noWrap w:val="0"/>
            <w:vAlign w:val="center"/>
          </w:tcPr>
          <w:p w14:paraId="66B138C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3.4制定各工种岗位安全操作规程。</w:t>
            </w:r>
          </w:p>
        </w:tc>
        <w:tc>
          <w:tcPr>
            <w:tcW w:w="743" w:type="pct"/>
            <w:vMerge w:val="continue"/>
            <w:noWrap w:val="0"/>
            <w:vAlign w:val="center"/>
          </w:tcPr>
          <w:p w14:paraId="529F389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7" w:type="pct"/>
            <w:vMerge w:val="continue"/>
            <w:noWrap w:val="0"/>
            <w:vAlign w:val="center"/>
          </w:tcPr>
          <w:p w14:paraId="686047F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83" w:type="pct"/>
            <w:noWrap w:val="0"/>
            <w:vAlign w:val="center"/>
          </w:tcPr>
          <w:p w14:paraId="4C66702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有</w:t>
            </w:r>
          </w:p>
        </w:tc>
        <w:tc>
          <w:tcPr>
            <w:tcW w:w="313" w:type="pct"/>
            <w:gridSpan w:val="2"/>
            <w:noWrap w:val="0"/>
            <w:vAlign w:val="center"/>
          </w:tcPr>
          <w:p w14:paraId="293DD29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540" w:type="pct"/>
            <w:noWrap w:val="0"/>
            <w:vAlign w:val="center"/>
          </w:tcPr>
          <w:p w14:paraId="583EBA2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缺1项</w:t>
            </w:r>
          </w:p>
          <w:p w14:paraId="0ACAC5C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扣1分</w:t>
            </w:r>
          </w:p>
        </w:tc>
        <w:tc>
          <w:tcPr>
            <w:tcW w:w="374" w:type="pct"/>
            <w:noWrap w:val="0"/>
            <w:vAlign w:val="center"/>
          </w:tcPr>
          <w:p w14:paraId="02FA1A4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2</w:t>
            </w:r>
          </w:p>
        </w:tc>
      </w:tr>
      <w:tr w14:paraId="7B190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150CDDF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762" w:type="pct"/>
            <w:gridSpan w:val="3"/>
            <w:noWrap w:val="0"/>
            <w:vAlign w:val="top"/>
          </w:tcPr>
          <w:p w14:paraId="4068FED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3.5主要负责人、分管安全工作负责人和安全管理人员经过安全培训</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考核合格</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持证上岗。</w:t>
            </w:r>
          </w:p>
        </w:tc>
        <w:tc>
          <w:tcPr>
            <w:tcW w:w="743" w:type="pct"/>
            <w:vMerge w:val="continue"/>
            <w:noWrap w:val="0"/>
            <w:vAlign w:val="center"/>
          </w:tcPr>
          <w:p w14:paraId="0F19792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7" w:type="pct"/>
            <w:vMerge w:val="continue"/>
            <w:noWrap w:val="0"/>
            <w:vAlign w:val="center"/>
          </w:tcPr>
          <w:p w14:paraId="180D7F2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83" w:type="pct"/>
            <w:noWrap w:val="0"/>
            <w:vAlign w:val="top"/>
          </w:tcPr>
          <w:p w14:paraId="5B5750D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符合</w:t>
            </w:r>
          </w:p>
        </w:tc>
        <w:tc>
          <w:tcPr>
            <w:tcW w:w="313" w:type="pct"/>
            <w:gridSpan w:val="2"/>
            <w:noWrap w:val="0"/>
            <w:vAlign w:val="top"/>
          </w:tcPr>
          <w:p w14:paraId="1A89935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540" w:type="pct"/>
            <w:noWrap w:val="0"/>
            <w:vAlign w:val="top"/>
          </w:tcPr>
          <w:p w14:paraId="17B55B0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任一类</w:t>
            </w:r>
          </w:p>
          <w:p w14:paraId="5A04C0F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人员无证就否</w:t>
            </w:r>
          </w:p>
        </w:tc>
        <w:tc>
          <w:tcPr>
            <w:tcW w:w="374" w:type="pct"/>
            <w:noWrap w:val="0"/>
            <w:vAlign w:val="top"/>
          </w:tcPr>
          <w:p w14:paraId="3D38707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r>
      <w:tr w14:paraId="10152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0E87D03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762" w:type="pct"/>
            <w:gridSpan w:val="3"/>
            <w:noWrap w:val="0"/>
            <w:vAlign w:val="center"/>
          </w:tcPr>
          <w:p w14:paraId="0B7634F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3.6特种作业人员经有关部门考核合格</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取得上岗资格。</w:t>
            </w:r>
          </w:p>
        </w:tc>
        <w:tc>
          <w:tcPr>
            <w:tcW w:w="743" w:type="pct"/>
            <w:vMerge w:val="continue"/>
            <w:noWrap w:val="0"/>
            <w:vAlign w:val="center"/>
          </w:tcPr>
          <w:p w14:paraId="7471DE2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7" w:type="pct"/>
            <w:vMerge w:val="continue"/>
            <w:noWrap w:val="0"/>
            <w:vAlign w:val="center"/>
          </w:tcPr>
          <w:p w14:paraId="3F2B939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83" w:type="pct"/>
            <w:noWrap w:val="0"/>
            <w:vAlign w:val="center"/>
          </w:tcPr>
          <w:p w14:paraId="3D6CDE4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符合</w:t>
            </w:r>
          </w:p>
        </w:tc>
        <w:tc>
          <w:tcPr>
            <w:tcW w:w="313" w:type="pct"/>
            <w:gridSpan w:val="2"/>
            <w:noWrap w:val="0"/>
            <w:vAlign w:val="center"/>
          </w:tcPr>
          <w:p w14:paraId="2E9FCEE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否决项</w:t>
            </w:r>
          </w:p>
        </w:tc>
        <w:tc>
          <w:tcPr>
            <w:tcW w:w="540" w:type="pct"/>
            <w:noWrap w:val="0"/>
            <w:vAlign w:val="center"/>
          </w:tcPr>
          <w:p w14:paraId="2F8C964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尾矿工</w:t>
            </w:r>
          </w:p>
          <w:p w14:paraId="6562CFB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无证就否</w:t>
            </w:r>
          </w:p>
        </w:tc>
        <w:tc>
          <w:tcPr>
            <w:tcW w:w="374" w:type="pct"/>
            <w:noWrap w:val="0"/>
            <w:vAlign w:val="center"/>
          </w:tcPr>
          <w:p w14:paraId="6ECB1C9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r>
      <w:tr w14:paraId="7A4BE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0F22F6B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762" w:type="pct"/>
            <w:gridSpan w:val="3"/>
            <w:noWrap w:val="0"/>
            <w:vAlign w:val="center"/>
          </w:tcPr>
          <w:p w14:paraId="0E000E8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3.7对从业人员进行安全知识培训</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新员工、转岗员工应接受三级安全教育。</w:t>
            </w:r>
          </w:p>
        </w:tc>
        <w:tc>
          <w:tcPr>
            <w:tcW w:w="743" w:type="pct"/>
            <w:vMerge w:val="continue"/>
            <w:noWrap w:val="0"/>
            <w:vAlign w:val="center"/>
          </w:tcPr>
          <w:p w14:paraId="52C5916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7" w:type="pct"/>
            <w:vMerge w:val="continue"/>
            <w:noWrap w:val="0"/>
            <w:vAlign w:val="center"/>
          </w:tcPr>
          <w:p w14:paraId="6CB8613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83" w:type="pct"/>
            <w:noWrap w:val="0"/>
            <w:vAlign w:val="center"/>
          </w:tcPr>
          <w:p w14:paraId="064E40C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符合</w:t>
            </w:r>
          </w:p>
        </w:tc>
        <w:tc>
          <w:tcPr>
            <w:tcW w:w="313" w:type="pct"/>
            <w:gridSpan w:val="2"/>
            <w:noWrap w:val="0"/>
            <w:vAlign w:val="center"/>
          </w:tcPr>
          <w:p w14:paraId="48C8C56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w:t>
            </w:r>
          </w:p>
        </w:tc>
        <w:tc>
          <w:tcPr>
            <w:tcW w:w="540" w:type="pct"/>
            <w:vMerge w:val="restart"/>
            <w:noWrap w:val="0"/>
            <w:vAlign w:val="center"/>
          </w:tcPr>
          <w:p w14:paraId="4B61481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58BFEF8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374" w:type="pct"/>
            <w:noWrap w:val="0"/>
            <w:vAlign w:val="center"/>
          </w:tcPr>
          <w:p w14:paraId="6C5B154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3</w:t>
            </w:r>
          </w:p>
        </w:tc>
      </w:tr>
      <w:tr w14:paraId="11A82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3E67C0A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762" w:type="pct"/>
            <w:gridSpan w:val="3"/>
            <w:noWrap w:val="0"/>
            <w:vAlign w:val="center"/>
          </w:tcPr>
          <w:p w14:paraId="4CFEF04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3.8制定应急救援预案及进行不定期演练</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有与邻近应急救援组织签订的救护协议。</w:t>
            </w:r>
          </w:p>
        </w:tc>
        <w:tc>
          <w:tcPr>
            <w:tcW w:w="743" w:type="pct"/>
            <w:vMerge w:val="continue"/>
            <w:noWrap w:val="0"/>
            <w:vAlign w:val="center"/>
          </w:tcPr>
          <w:p w14:paraId="45D4E77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537" w:type="pct"/>
            <w:vMerge w:val="continue"/>
            <w:noWrap w:val="0"/>
            <w:vAlign w:val="center"/>
          </w:tcPr>
          <w:p w14:paraId="4D2D85A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83" w:type="pct"/>
            <w:noWrap w:val="0"/>
            <w:vAlign w:val="center"/>
          </w:tcPr>
          <w:p w14:paraId="764F697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符合</w:t>
            </w:r>
          </w:p>
        </w:tc>
        <w:tc>
          <w:tcPr>
            <w:tcW w:w="313" w:type="pct"/>
            <w:gridSpan w:val="2"/>
            <w:noWrap w:val="0"/>
            <w:vAlign w:val="center"/>
          </w:tcPr>
          <w:p w14:paraId="0271967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540" w:type="pct"/>
            <w:vMerge w:val="continue"/>
            <w:noWrap w:val="0"/>
            <w:vAlign w:val="center"/>
          </w:tcPr>
          <w:p w14:paraId="0E4B3B4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74" w:type="pct"/>
            <w:noWrap w:val="0"/>
            <w:vAlign w:val="center"/>
          </w:tcPr>
          <w:p w14:paraId="4FCC9D4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5</w:t>
            </w:r>
          </w:p>
        </w:tc>
      </w:tr>
      <w:tr w14:paraId="18588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5390E2E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762" w:type="pct"/>
            <w:gridSpan w:val="3"/>
            <w:noWrap w:val="0"/>
            <w:vAlign w:val="center"/>
          </w:tcPr>
          <w:p w14:paraId="2E96642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3.9按规定提取和使用安全技术措施费用；</w:t>
            </w:r>
          </w:p>
          <w:p w14:paraId="30CFE19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3.9.1有保证安全生产投入的文件；</w:t>
            </w:r>
          </w:p>
          <w:p w14:paraId="0058334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3.9.2有安全投入使用计划；</w:t>
            </w:r>
          </w:p>
          <w:p w14:paraId="5F643A5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pacing w:val="-6"/>
                <w:kern w:val="0"/>
                <w:sz w:val="21"/>
                <w:szCs w:val="21"/>
                <w:lang w:val="zh-CN"/>
              </w:rPr>
              <w:t>3.9.3有购置安全设施设备等实物证明</w:t>
            </w:r>
            <w:r>
              <w:rPr>
                <w:rFonts w:hint="default" w:ascii="Times New Roman" w:hAnsi="Times New Roman" w:eastAsia="宋体" w:cs="Times New Roman"/>
                <w:color w:val="auto"/>
                <w:kern w:val="0"/>
                <w:sz w:val="21"/>
                <w:szCs w:val="21"/>
                <w:lang w:val="zh-CN"/>
              </w:rPr>
              <w:t>。</w:t>
            </w:r>
          </w:p>
        </w:tc>
        <w:tc>
          <w:tcPr>
            <w:tcW w:w="743" w:type="pct"/>
            <w:vMerge w:val="continue"/>
            <w:noWrap w:val="0"/>
            <w:vAlign w:val="center"/>
          </w:tcPr>
          <w:p w14:paraId="489AF6C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7" w:type="pct"/>
            <w:vMerge w:val="continue"/>
            <w:noWrap w:val="0"/>
            <w:vAlign w:val="center"/>
          </w:tcPr>
          <w:p w14:paraId="4038961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83" w:type="pct"/>
            <w:noWrap w:val="0"/>
            <w:vAlign w:val="center"/>
          </w:tcPr>
          <w:p w14:paraId="26B0646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符合</w:t>
            </w:r>
          </w:p>
        </w:tc>
        <w:tc>
          <w:tcPr>
            <w:tcW w:w="313" w:type="pct"/>
            <w:gridSpan w:val="2"/>
            <w:noWrap w:val="0"/>
            <w:vAlign w:val="center"/>
          </w:tcPr>
          <w:p w14:paraId="1F1817D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540" w:type="pct"/>
            <w:noWrap w:val="0"/>
            <w:vAlign w:val="center"/>
          </w:tcPr>
          <w:p w14:paraId="6A8C07D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缺1项</w:t>
            </w:r>
          </w:p>
          <w:p w14:paraId="03A4B69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扣1分</w:t>
            </w:r>
          </w:p>
        </w:tc>
        <w:tc>
          <w:tcPr>
            <w:tcW w:w="374" w:type="pct"/>
            <w:noWrap w:val="0"/>
            <w:vAlign w:val="center"/>
          </w:tcPr>
          <w:p w14:paraId="284A751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5</w:t>
            </w:r>
          </w:p>
        </w:tc>
      </w:tr>
      <w:tr w14:paraId="7DF58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6BC7188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762" w:type="pct"/>
            <w:gridSpan w:val="3"/>
            <w:noWrap w:val="0"/>
            <w:vAlign w:val="center"/>
          </w:tcPr>
          <w:p w14:paraId="01C679B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3.10从业人员按规定穿戴和使用劳动保护用品与用具。</w:t>
            </w:r>
          </w:p>
        </w:tc>
        <w:tc>
          <w:tcPr>
            <w:tcW w:w="743" w:type="pct"/>
            <w:vMerge w:val="continue"/>
            <w:noWrap w:val="0"/>
            <w:vAlign w:val="center"/>
          </w:tcPr>
          <w:p w14:paraId="4140F8C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7" w:type="pct"/>
            <w:vMerge w:val="continue"/>
            <w:noWrap w:val="0"/>
            <w:vAlign w:val="center"/>
          </w:tcPr>
          <w:p w14:paraId="04C3EC5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83" w:type="pct"/>
            <w:noWrap w:val="0"/>
            <w:vAlign w:val="center"/>
          </w:tcPr>
          <w:p w14:paraId="795F251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符合</w:t>
            </w:r>
          </w:p>
        </w:tc>
        <w:tc>
          <w:tcPr>
            <w:tcW w:w="313" w:type="pct"/>
            <w:gridSpan w:val="2"/>
            <w:noWrap w:val="0"/>
            <w:vAlign w:val="center"/>
          </w:tcPr>
          <w:p w14:paraId="7FCAEBB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540" w:type="pct"/>
            <w:vMerge w:val="restart"/>
            <w:noWrap w:val="0"/>
            <w:vAlign w:val="center"/>
          </w:tcPr>
          <w:p w14:paraId="67D3CAE4">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7272D15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374" w:type="pct"/>
            <w:noWrap w:val="0"/>
            <w:vAlign w:val="center"/>
          </w:tcPr>
          <w:p w14:paraId="24230CA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2</w:t>
            </w:r>
          </w:p>
        </w:tc>
      </w:tr>
      <w:tr w14:paraId="5CF9F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2C0315B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762" w:type="pct"/>
            <w:gridSpan w:val="3"/>
            <w:noWrap w:val="0"/>
            <w:vAlign w:val="center"/>
          </w:tcPr>
          <w:p w14:paraId="5BB311D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3.11参加安全生产保险；</w:t>
            </w:r>
          </w:p>
          <w:p w14:paraId="5E6E18B3">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3.12有为从业人员缴纳安全生产责任保险证明；</w:t>
            </w:r>
          </w:p>
          <w:p w14:paraId="751194B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3.13保险人数与从事尾矿库管理、尾矿工的实际人数相符。</w:t>
            </w:r>
          </w:p>
        </w:tc>
        <w:tc>
          <w:tcPr>
            <w:tcW w:w="743" w:type="pct"/>
            <w:vMerge w:val="continue"/>
            <w:noWrap w:val="0"/>
            <w:vAlign w:val="top"/>
          </w:tcPr>
          <w:p w14:paraId="1D4D9FB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537" w:type="pct"/>
            <w:vMerge w:val="continue"/>
            <w:noWrap w:val="0"/>
            <w:vAlign w:val="center"/>
          </w:tcPr>
          <w:p w14:paraId="13DAD32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83" w:type="pct"/>
            <w:noWrap w:val="0"/>
            <w:vAlign w:val="center"/>
          </w:tcPr>
          <w:p w14:paraId="0197C2C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eastAsia" w:ascii="Times New Roman" w:hAnsi="Times New Roman" w:cs="Times New Roman"/>
                <w:color w:val="auto"/>
                <w:kern w:val="0"/>
                <w:sz w:val="21"/>
                <w:szCs w:val="21"/>
                <w:lang w:val="en-US" w:eastAsia="zh-CN"/>
              </w:rPr>
              <w:t>不符合</w:t>
            </w:r>
          </w:p>
        </w:tc>
        <w:tc>
          <w:tcPr>
            <w:tcW w:w="313" w:type="pct"/>
            <w:gridSpan w:val="2"/>
            <w:noWrap w:val="0"/>
            <w:vAlign w:val="center"/>
          </w:tcPr>
          <w:p w14:paraId="08D61B6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5</w:t>
            </w:r>
          </w:p>
        </w:tc>
        <w:tc>
          <w:tcPr>
            <w:tcW w:w="540" w:type="pct"/>
            <w:vMerge w:val="continue"/>
            <w:noWrap w:val="0"/>
            <w:vAlign w:val="center"/>
          </w:tcPr>
          <w:p w14:paraId="799B6D3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74" w:type="pct"/>
            <w:noWrap w:val="0"/>
            <w:vAlign w:val="center"/>
          </w:tcPr>
          <w:p w14:paraId="4341495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0</w:t>
            </w:r>
          </w:p>
        </w:tc>
      </w:tr>
      <w:tr w14:paraId="2E2DE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7E8AE7B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295" w:type="pct"/>
            <w:gridSpan w:val="2"/>
            <w:noWrap w:val="0"/>
            <w:vAlign w:val="top"/>
          </w:tcPr>
          <w:p w14:paraId="71358788">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3.14应有防震与抗震措施。</w:t>
            </w:r>
          </w:p>
        </w:tc>
        <w:tc>
          <w:tcPr>
            <w:tcW w:w="1211" w:type="pct"/>
            <w:gridSpan w:val="2"/>
            <w:noWrap w:val="0"/>
            <w:vAlign w:val="center"/>
          </w:tcPr>
          <w:p w14:paraId="292D843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《构筑物抗震设计规范》</w:t>
            </w:r>
          </w:p>
        </w:tc>
        <w:tc>
          <w:tcPr>
            <w:tcW w:w="537" w:type="pct"/>
            <w:noWrap w:val="0"/>
            <w:vAlign w:val="center"/>
          </w:tcPr>
          <w:p w14:paraId="1D5E067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查记录</w:t>
            </w:r>
          </w:p>
        </w:tc>
        <w:tc>
          <w:tcPr>
            <w:tcW w:w="383" w:type="pct"/>
            <w:noWrap w:val="0"/>
            <w:vAlign w:val="center"/>
          </w:tcPr>
          <w:p w14:paraId="56CE64D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无</w:t>
            </w:r>
          </w:p>
        </w:tc>
        <w:tc>
          <w:tcPr>
            <w:tcW w:w="313" w:type="pct"/>
            <w:gridSpan w:val="2"/>
            <w:noWrap w:val="0"/>
            <w:vAlign w:val="center"/>
          </w:tcPr>
          <w:p w14:paraId="2D8D1AF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540" w:type="pct"/>
            <w:noWrap w:val="0"/>
            <w:vAlign w:val="center"/>
          </w:tcPr>
          <w:p w14:paraId="04AADAE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74" w:type="pct"/>
            <w:noWrap w:val="0"/>
            <w:vAlign w:val="center"/>
          </w:tcPr>
          <w:p w14:paraId="5A2EFEDA">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0</w:t>
            </w:r>
          </w:p>
        </w:tc>
      </w:tr>
      <w:tr w14:paraId="5DC6E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4FE8A6C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193" w:type="pct"/>
            <w:noWrap w:val="0"/>
            <w:vAlign w:val="top"/>
          </w:tcPr>
          <w:p w14:paraId="21780109">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3.15</w:t>
            </w:r>
            <w:r>
              <w:rPr>
                <w:rFonts w:hint="default" w:ascii="Times New Roman" w:hAnsi="Times New Roman" w:eastAsia="宋体" w:cs="Times New Roman"/>
                <w:color w:val="auto"/>
                <w:kern w:val="0"/>
                <w:sz w:val="21"/>
                <w:szCs w:val="21"/>
                <w:lang w:val="zh-CN"/>
              </w:rPr>
              <w:t>建立安全生产标准化体系。</w:t>
            </w:r>
          </w:p>
        </w:tc>
        <w:tc>
          <w:tcPr>
            <w:tcW w:w="1312" w:type="pct"/>
            <w:gridSpan w:val="3"/>
            <w:noWrap w:val="0"/>
            <w:vAlign w:val="center"/>
          </w:tcPr>
          <w:p w14:paraId="3408307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《金属非金属矿山安全标准化规范 导则》</w:t>
            </w:r>
          </w:p>
        </w:tc>
        <w:tc>
          <w:tcPr>
            <w:tcW w:w="537" w:type="pct"/>
            <w:noWrap w:val="0"/>
            <w:vAlign w:val="center"/>
          </w:tcPr>
          <w:p w14:paraId="53DFBCE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查记录</w:t>
            </w:r>
          </w:p>
        </w:tc>
        <w:tc>
          <w:tcPr>
            <w:tcW w:w="383" w:type="pct"/>
            <w:noWrap w:val="0"/>
            <w:vAlign w:val="center"/>
          </w:tcPr>
          <w:p w14:paraId="085F492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证书</w:t>
            </w:r>
            <w:r>
              <w:rPr>
                <w:rFonts w:hint="default" w:ascii="Times New Roman" w:hAnsi="Times New Roman" w:eastAsia="宋体" w:cs="Times New Roman"/>
                <w:color w:val="auto"/>
                <w:kern w:val="0"/>
                <w:sz w:val="21"/>
                <w:szCs w:val="21"/>
                <w:lang w:val="en-US" w:eastAsia="zh-CN"/>
              </w:rPr>
              <w:t>已过期</w:t>
            </w:r>
          </w:p>
        </w:tc>
        <w:tc>
          <w:tcPr>
            <w:tcW w:w="313" w:type="pct"/>
            <w:gridSpan w:val="2"/>
            <w:noWrap w:val="0"/>
            <w:vAlign w:val="center"/>
          </w:tcPr>
          <w:p w14:paraId="25FF2A9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540" w:type="pct"/>
            <w:noWrap w:val="0"/>
            <w:vAlign w:val="center"/>
          </w:tcPr>
          <w:p w14:paraId="1BB4A71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74" w:type="pct"/>
            <w:noWrap w:val="0"/>
            <w:vAlign w:val="center"/>
          </w:tcPr>
          <w:p w14:paraId="3A6DFB5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不符合</w:t>
            </w:r>
          </w:p>
        </w:tc>
      </w:tr>
      <w:tr w14:paraId="68BA8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vMerge w:val="continue"/>
            <w:noWrap w:val="0"/>
            <w:vAlign w:val="center"/>
          </w:tcPr>
          <w:p w14:paraId="3F322FCB">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1193" w:type="pct"/>
            <w:noWrap w:val="0"/>
            <w:vAlign w:val="top"/>
          </w:tcPr>
          <w:p w14:paraId="4277503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3.16</w:t>
            </w:r>
            <w:r>
              <w:rPr>
                <w:rFonts w:hint="default" w:ascii="Times New Roman" w:hAnsi="Times New Roman" w:eastAsia="宋体" w:cs="Times New Roman"/>
                <w:color w:val="auto"/>
                <w:kern w:val="0"/>
                <w:sz w:val="21"/>
                <w:szCs w:val="21"/>
                <w:lang w:val="zh-CN"/>
              </w:rPr>
              <w:t>开展</w:t>
            </w:r>
            <w:r>
              <w:rPr>
                <w:rFonts w:hint="default" w:ascii="Times New Roman" w:hAnsi="Times New Roman" w:eastAsia="宋体" w:cs="Times New Roman"/>
                <w:color w:val="auto"/>
                <w:kern w:val="0"/>
                <w:sz w:val="21"/>
                <w:szCs w:val="21"/>
                <w:lang w:val="en-US" w:eastAsia="zh-CN"/>
              </w:rPr>
              <w:t>隐患排查、</w:t>
            </w:r>
            <w:r>
              <w:rPr>
                <w:rFonts w:hint="default" w:ascii="Times New Roman" w:hAnsi="Times New Roman" w:eastAsia="宋体" w:cs="Times New Roman"/>
                <w:color w:val="auto"/>
                <w:kern w:val="0"/>
                <w:sz w:val="21"/>
                <w:szCs w:val="21"/>
                <w:lang w:val="zh-CN"/>
              </w:rPr>
              <w:t>风险管控</w:t>
            </w:r>
            <w:r>
              <w:rPr>
                <w:rFonts w:hint="default" w:ascii="Times New Roman" w:hAnsi="Times New Roman" w:eastAsia="宋体" w:cs="Times New Roman"/>
                <w:color w:val="auto"/>
                <w:kern w:val="0"/>
                <w:sz w:val="21"/>
                <w:szCs w:val="21"/>
                <w:lang w:val="en-US" w:eastAsia="zh-CN"/>
              </w:rPr>
              <w:t>双体系预防机制</w:t>
            </w:r>
            <w:r>
              <w:rPr>
                <w:rFonts w:hint="default" w:ascii="Times New Roman" w:hAnsi="Times New Roman" w:eastAsia="宋体" w:cs="Times New Roman"/>
                <w:color w:val="auto"/>
                <w:kern w:val="0"/>
                <w:sz w:val="21"/>
                <w:szCs w:val="21"/>
                <w:lang w:val="zh-CN"/>
              </w:rPr>
              <w:t>。</w:t>
            </w:r>
          </w:p>
        </w:tc>
        <w:tc>
          <w:tcPr>
            <w:tcW w:w="1312" w:type="pct"/>
            <w:gridSpan w:val="3"/>
            <w:noWrap w:val="0"/>
            <w:vAlign w:val="center"/>
          </w:tcPr>
          <w:p w14:paraId="5CB7E82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eastAsia="zh-CN"/>
              </w:rPr>
              <w:t>《</w:t>
            </w:r>
            <w:r>
              <w:rPr>
                <w:rFonts w:hint="default" w:ascii="Times New Roman" w:hAnsi="Times New Roman" w:eastAsia="宋体" w:cs="Times New Roman"/>
                <w:color w:val="auto"/>
                <w:kern w:val="0"/>
                <w:sz w:val="21"/>
                <w:szCs w:val="21"/>
                <w:lang w:val="zh-CN"/>
              </w:rPr>
              <w:t>江西省安委会办公室关于推动生产经营单位构建安全风险分级管控和隐患排查治理双重预防机制的指导意见</w:t>
            </w:r>
            <w:r>
              <w:rPr>
                <w:rFonts w:hint="default" w:ascii="Times New Roman" w:hAnsi="Times New Roman" w:eastAsia="宋体" w:cs="Times New Roman"/>
                <w:color w:val="auto"/>
                <w:kern w:val="0"/>
                <w:sz w:val="21"/>
                <w:szCs w:val="21"/>
                <w:lang w:val="zh-CN" w:eastAsia="zh-CN"/>
              </w:rPr>
              <w:t>》</w:t>
            </w:r>
          </w:p>
        </w:tc>
        <w:tc>
          <w:tcPr>
            <w:tcW w:w="537" w:type="pct"/>
            <w:noWrap w:val="0"/>
            <w:vAlign w:val="center"/>
          </w:tcPr>
          <w:p w14:paraId="448CBDC2">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查记录</w:t>
            </w:r>
          </w:p>
        </w:tc>
        <w:tc>
          <w:tcPr>
            <w:tcW w:w="383" w:type="pct"/>
            <w:noWrap w:val="0"/>
            <w:vAlign w:val="center"/>
          </w:tcPr>
          <w:p w14:paraId="0A310CA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有</w:t>
            </w:r>
          </w:p>
        </w:tc>
        <w:tc>
          <w:tcPr>
            <w:tcW w:w="313" w:type="pct"/>
            <w:gridSpan w:val="2"/>
            <w:noWrap w:val="0"/>
            <w:vAlign w:val="center"/>
          </w:tcPr>
          <w:p w14:paraId="7CE3310F">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540" w:type="pct"/>
            <w:noWrap w:val="0"/>
            <w:vAlign w:val="center"/>
          </w:tcPr>
          <w:p w14:paraId="5179FE0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74" w:type="pct"/>
            <w:noWrap w:val="0"/>
            <w:vAlign w:val="center"/>
          </w:tcPr>
          <w:p w14:paraId="761AA9F6">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符合</w:t>
            </w:r>
          </w:p>
        </w:tc>
      </w:tr>
      <w:tr w14:paraId="30410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45" w:type="pct"/>
            <w:noWrap w:val="0"/>
            <w:vAlign w:val="center"/>
          </w:tcPr>
          <w:p w14:paraId="435D7CD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kern w:val="0"/>
                <w:sz w:val="24"/>
                <w:lang w:val="zh-CN"/>
              </w:rPr>
              <w:t>小计</w:t>
            </w:r>
          </w:p>
        </w:tc>
        <w:tc>
          <w:tcPr>
            <w:tcW w:w="1762" w:type="pct"/>
            <w:gridSpan w:val="3"/>
            <w:noWrap w:val="0"/>
            <w:vAlign w:val="top"/>
          </w:tcPr>
          <w:p w14:paraId="44038CC0">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4"/>
                <w:lang w:val="zh-CN"/>
              </w:rPr>
            </w:pPr>
          </w:p>
        </w:tc>
        <w:tc>
          <w:tcPr>
            <w:tcW w:w="743" w:type="pct"/>
            <w:noWrap w:val="0"/>
            <w:vAlign w:val="center"/>
          </w:tcPr>
          <w:p w14:paraId="0109783E">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sz w:val="24"/>
              </w:rPr>
            </w:pPr>
          </w:p>
        </w:tc>
        <w:tc>
          <w:tcPr>
            <w:tcW w:w="537" w:type="pct"/>
            <w:noWrap w:val="0"/>
            <w:vAlign w:val="center"/>
          </w:tcPr>
          <w:p w14:paraId="44F73FED">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383" w:type="pct"/>
            <w:noWrap w:val="0"/>
            <w:vAlign w:val="center"/>
          </w:tcPr>
          <w:p w14:paraId="0AA10937">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textAlignment w:val="auto"/>
              <w:rPr>
                <w:rFonts w:hint="default" w:ascii="Times New Roman" w:hAnsi="Times New Roman" w:eastAsia="宋体" w:cs="Times New Roman"/>
                <w:color w:val="auto"/>
                <w:kern w:val="0"/>
                <w:sz w:val="24"/>
                <w:lang w:val="zh-CN"/>
              </w:rPr>
            </w:pPr>
          </w:p>
        </w:tc>
        <w:tc>
          <w:tcPr>
            <w:tcW w:w="313" w:type="pct"/>
            <w:gridSpan w:val="2"/>
            <w:noWrap w:val="0"/>
            <w:vAlign w:val="center"/>
          </w:tcPr>
          <w:p w14:paraId="11AD0D91">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kern w:val="0"/>
                <w:sz w:val="24"/>
                <w:lang w:val="zh-CN"/>
              </w:rPr>
              <w:t>51</w:t>
            </w:r>
          </w:p>
        </w:tc>
        <w:tc>
          <w:tcPr>
            <w:tcW w:w="540" w:type="pct"/>
            <w:noWrap w:val="0"/>
            <w:vAlign w:val="center"/>
          </w:tcPr>
          <w:p w14:paraId="67DF4A85">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zh-CN"/>
              </w:rPr>
            </w:pPr>
          </w:p>
        </w:tc>
        <w:tc>
          <w:tcPr>
            <w:tcW w:w="374" w:type="pct"/>
            <w:noWrap w:val="0"/>
            <w:vAlign w:val="center"/>
          </w:tcPr>
          <w:p w14:paraId="7C57DA9C">
            <w:pPr>
              <w:keepNext w:val="0"/>
              <w:keepLines w:val="0"/>
              <w:pageBreakBefore w:val="0"/>
              <w:widowControl w:val="0"/>
              <w:kinsoku/>
              <w:wordWrap/>
              <w:overflowPunct/>
              <w:topLinePunct w:val="0"/>
              <w:autoSpaceDE w:val="0"/>
              <w:autoSpaceDN w:val="0"/>
              <w:bidi w:val="0"/>
              <w:adjustRightInd w:val="0"/>
              <w:snapToGrid/>
              <w:spacing w:line="292" w:lineRule="exact"/>
              <w:ind w:firstLine="0" w:firstLineChars="0"/>
              <w:jc w:val="center"/>
              <w:textAlignment w:val="auto"/>
              <w:rPr>
                <w:rFonts w:hint="default" w:ascii="Times New Roman" w:hAnsi="Times New Roman" w:eastAsia="宋体" w:cs="Times New Roman"/>
                <w:color w:val="auto"/>
                <w:kern w:val="0"/>
                <w:sz w:val="24"/>
                <w:lang w:val="en-US" w:eastAsia="zh-CN"/>
              </w:rPr>
            </w:pPr>
            <w:r>
              <w:rPr>
                <w:rFonts w:hint="eastAsia" w:ascii="Times New Roman" w:hAnsi="Times New Roman" w:cs="Times New Roman"/>
                <w:color w:val="auto"/>
                <w:kern w:val="0"/>
                <w:sz w:val="24"/>
                <w:lang w:val="en-US" w:eastAsia="zh-CN"/>
              </w:rPr>
              <w:t>34</w:t>
            </w:r>
          </w:p>
        </w:tc>
      </w:tr>
    </w:tbl>
    <w:p w14:paraId="2D4B510B">
      <w:pPr>
        <w:pStyle w:val="5"/>
        <w:bidi w:val="0"/>
        <w:rPr>
          <w:rFonts w:hint="default" w:ascii="Times New Roman" w:hAnsi="Times New Roman" w:cs="Times New Roman"/>
          <w:color w:val="auto"/>
          <w:lang w:val="en-US" w:eastAsia="zh-CN"/>
        </w:rPr>
      </w:pPr>
      <w:bookmarkStart w:id="153" w:name="_Toc14153"/>
      <w:r>
        <w:rPr>
          <w:rFonts w:hint="default" w:ascii="Times New Roman" w:hAnsi="Times New Roman" w:cs="Times New Roman"/>
          <w:color w:val="auto"/>
          <w:lang w:val="en-US" w:eastAsia="zh-CN"/>
        </w:rPr>
        <w:t>5.1.2安全管理单元评价小结</w:t>
      </w:r>
      <w:bookmarkEnd w:id="153"/>
    </w:p>
    <w:p w14:paraId="345506DA">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经安全检查表法分析、评判</w:t>
      </w:r>
      <w:r>
        <w:rPr>
          <w:rFonts w:hint="eastAsia" w:ascii="Times New Roman" w:hAnsi="Times New Roman" w:cs="Times New Roman"/>
          <w:color w:val="auto"/>
          <w:lang w:val="en-US" w:eastAsia="zh-CN"/>
        </w:rPr>
        <w:t>，江西临川鲁金矿业有限公司茅排金矿庄前尾矿库无防震与抗震措施、安全生产标准化证书已过期，保险人数与实际人数不相符，</w:t>
      </w:r>
      <w:r>
        <w:rPr>
          <w:rFonts w:hint="default" w:ascii="Times New Roman" w:hAnsi="Times New Roman" w:cs="Times New Roman"/>
          <w:color w:val="auto"/>
          <w:lang w:val="en-US" w:eastAsia="zh-CN"/>
        </w:rPr>
        <w:t>安全管理单元应得分51分</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实</w:t>
      </w:r>
      <w:r>
        <w:rPr>
          <w:rFonts w:hint="eastAsia" w:ascii="Times New Roman" w:hAnsi="Times New Roman" w:cs="Times New Roman"/>
          <w:color w:val="auto"/>
          <w:lang w:val="en-US" w:eastAsia="zh-CN"/>
        </w:rPr>
        <w:t>得</w:t>
      </w:r>
      <w:r>
        <w:rPr>
          <w:rFonts w:hint="default" w:ascii="Times New Roman" w:hAnsi="Times New Roman" w:cs="Times New Roman"/>
          <w:color w:val="auto"/>
          <w:lang w:val="en-US" w:eastAsia="zh-CN"/>
        </w:rPr>
        <w:t>分</w:t>
      </w:r>
      <w:r>
        <w:rPr>
          <w:rFonts w:hint="eastAsia" w:ascii="Times New Roman" w:hAnsi="Times New Roman" w:cs="Times New Roman"/>
          <w:color w:val="auto"/>
          <w:lang w:val="en-US" w:eastAsia="zh-CN"/>
        </w:rPr>
        <w:t>34</w:t>
      </w:r>
      <w:r>
        <w:rPr>
          <w:rFonts w:hint="default" w:ascii="Times New Roman" w:hAnsi="Times New Roman" w:cs="Times New Roman"/>
          <w:color w:val="auto"/>
          <w:lang w:val="en-US" w:eastAsia="zh-CN"/>
        </w:rPr>
        <w:t>分</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得分率为</w:t>
      </w:r>
      <w:r>
        <w:rPr>
          <w:rFonts w:hint="eastAsia" w:ascii="Times New Roman" w:hAnsi="Times New Roman" w:cs="Times New Roman"/>
          <w:color w:val="auto"/>
          <w:lang w:val="en-US" w:eastAsia="zh-CN"/>
        </w:rPr>
        <w:t>66.67</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符合有关安全生产法律法规、规程规范要求</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能满足基本的安全生产活动。</w:t>
      </w:r>
    </w:p>
    <w:p w14:paraId="222D9137">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综上所述</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江西临川鲁金矿业有限公司茅排金矿庄前尾矿库安全管理单元符合安全生产条件。</w:t>
      </w:r>
      <w:r>
        <w:rPr>
          <w:rFonts w:hint="eastAsia" w:ascii="Times New Roman" w:hAnsi="Times New Roman" w:cs="Times New Roman"/>
          <w:color w:val="auto"/>
          <w:lang w:val="en-US" w:eastAsia="zh-CN"/>
        </w:rPr>
        <w:t>企业应尽快为入职人员完善入职事宜，并按规定缴纳工伤保险。</w:t>
      </w:r>
    </w:p>
    <w:p w14:paraId="59BBC1C1">
      <w:pPr>
        <w:pStyle w:val="4"/>
        <w:bidi w:val="0"/>
        <w:rPr>
          <w:rFonts w:hint="default" w:ascii="Times New Roman" w:hAnsi="Times New Roman" w:cs="Times New Roman"/>
          <w:color w:val="auto"/>
          <w:lang w:val="en-US" w:eastAsia="zh-CN"/>
        </w:rPr>
      </w:pPr>
      <w:bookmarkStart w:id="154" w:name="_Toc22782"/>
      <w:r>
        <w:rPr>
          <w:rFonts w:hint="default" w:ascii="Times New Roman" w:hAnsi="Times New Roman" w:cs="Times New Roman"/>
          <w:color w:val="auto"/>
          <w:lang w:val="en-US" w:eastAsia="zh-CN"/>
        </w:rPr>
        <w:t>5.2尾矿坝单元</w:t>
      </w:r>
      <w:bookmarkEnd w:id="154"/>
    </w:p>
    <w:p w14:paraId="6ADE8B7F">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尾矿坝是尾矿库的主体工程</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也是最重要的安全设施。尾矿坝的稳定关系到整个库的安全。影响尾矿坝坝体稳定的因素较多。本节采用安全检查表评价方法、坝体稳定性计算评价方法。</w:t>
      </w:r>
    </w:p>
    <w:p w14:paraId="7051E69A">
      <w:pPr>
        <w:pStyle w:val="5"/>
        <w:bidi w:val="0"/>
        <w:rPr>
          <w:rFonts w:hint="default" w:ascii="Times New Roman" w:hAnsi="Times New Roman" w:cs="Times New Roman"/>
          <w:color w:val="auto"/>
          <w:lang w:val="en-US" w:eastAsia="zh-CN"/>
        </w:rPr>
      </w:pPr>
      <w:bookmarkStart w:id="155" w:name="_Toc7108"/>
      <w:r>
        <w:rPr>
          <w:rFonts w:hint="default" w:ascii="Times New Roman" w:hAnsi="Times New Roman" w:cs="Times New Roman"/>
          <w:color w:val="auto"/>
          <w:lang w:val="en-US" w:eastAsia="zh-CN"/>
        </w:rPr>
        <w:t>5.2.1尾矿坝单元安全检查表法评价</w:t>
      </w:r>
      <w:bookmarkEnd w:id="155"/>
    </w:p>
    <w:p w14:paraId="30CCB932">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本报告参考《关于印发江西省非煤矿山安全检查表的通知》中的《尾矿库安全检查表》以及《尾矿库安全规程》</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制定了尾矿坝单元安全检查表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对其安全性、符合性进行评述</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具体见表5.2.1-1。</w:t>
      </w:r>
    </w:p>
    <w:p w14:paraId="7760D0C5">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表5</w:t>
      </w:r>
      <w:r>
        <w:rPr>
          <w:rFonts w:hint="default" w:ascii="Times New Roman" w:hAnsi="Times New Roman" w:cs="Times New Roman"/>
          <w:color w:val="auto"/>
          <w:sz w:val="28"/>
          <w:szCs w:val="28"/>
          <w:lang w:val="en-US" w:eastAsia="zh-CN"/>
        </w:rPr>
        <w:t>.2.1-1</w:t>
      </w:r>
      <w:r>
        <w:rPr>
          <w:rFonts w:hint="default" w:ascii="Times New Roman" w:hAnsi="Times New Roman" w:eastAsia="宋体" w:cs="Times New Roman"/>
          <w:color w:val="auto"/>
          <w:sz w:val="28"/>
          <w:szCs w:val="28"/>
        </w:rPr>
        <w:t>尾矿坝</w:t>
      </w:r>
      <w:r>
        <w:rPr>
          <w:rFonts w:hint="default" w:ascii="Times New Roman" w:hAnsi="Times New Roman" w:eastAsia="宋体" w:cs="Times New Roman"/>
          <w:color w:val="auto"/>
          <w:sz w:val="28"/>
          <w:szCs w:val="28"/>
          <w:lang w:val="en-US" w:eastAsia="zh-CN"/>
        </w:rPr>
        <w:t>单元</w:t>
      </w:r>
      <w:r>
        <w:rPr>
          <w:rFonts w:hint="default" w:ascii="Times New Roman" w:hAnsi="Times New Roman" w:eastAsia="宋体" w:cs="Times New Roman"/>
          <w:color w:val="auto"/>
          <w:sz w:val="28"/>
          <w:szCs w:val="28"/>
        </w:rPr>
        <w:t>安全检查表</w:t>
      </w:r>
    </w:p>
    <w:tbl>
      <w:tblPr>
        <w:tblStyle w:val="17"/>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629"/>
        <w:gridCol w:w="315"/>
        <w:gridCol w:w="3317"/>
        <w:gridCol w:w="833"/>
        <w:gridCol w:w="392"/>
        <w:gridCol w:w="1018"/>
        <w:gridCol w:w="607"/>
        <w:gridCol w:w="539"/>
        <w:gridCol w:w="663"/>
        <w:gridCol w:w="686"/>
        <w:gridCol w:w="657"/>
      </w:tblGrid>
      <w:tr w14:paraId="78CBD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489" w:type="pct"/>
            <w:gridSpan w:val="2"/>
            <w:noWrap w:val="0"/>
            <w:vAlign w:val="center"/>
          </w:tcPr>
          <w:p w14:paraId="4936E8F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kern w:val="0"/>
                <w:sz w:val="21"/>
                <w:szCs w:val="21"/>
                <w:lang w:val="zh-CN"/>
              </w:rPr>
            </w:pPr>
            <w:r>
              <w:rPr>
                <w:rFonts w:hint="default" w:ascii="Times New Roman" w:hAnsi="Times New Roman" w:eastAsia="宋体" w:cs="Times New Roman"/>
                <w:b/>
                <w:bCs/>
                <w:color w:val="auto"/>
                <w:kern w:val="0"/>
                <w:sz w:val="21"/>
                <w:szCs w:val="21"/>
                <w:lang w:val="zh-CN"/>
              </w:rPr>
              <w:t>项目</w:t>
            </w:r>
          </w:p>
        </w:tc>
        <w:tc>
          <w:tcPr>
            <w:tcW w:w="1717" w:type="pct"/>
            <w:noWrap w:val="0"/>
            <w:vAlign w:val="center"/>
          </w:tcPr>
          <w:p w14:paraId="6860821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检查内容</w:t>
            </w:r>
          </w:p>
        </w:tc>
        <w:tc>
          <w:tcPr>
            <w:tcW w:w="634" w:type="pct"/>
            <w:gridSpan w:val="2"/>
            <w:noWrap w:val="0"/>
            <w:vAlign w:val="center"/>
          </w:tcPr>
          <w:p w14:paraId="7DB68E3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检查依据</w:t>
            </w:r>
          </w:p>
        </w:tc>
        <w:tc>
          <w:tcPr>
            <w:tcW w:w="527" w:type="pct"/>
            <w:noWrap w:val="0"/>
            <w:vAlign w:val="center"/>
          </w:tcPr>
          <w:p w14:paraId="71C03EA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kern w:val="0"/>
                <w:sz w:val="21"/>
                <w:szCs w:val="21"/>
                <w:lang w:val="zh-CN"/>
              </w:rPr>
            </w:pPr>
            <w:r>
              <w:rPr>
                <w:rFonts w:hint="default" w:ascii="Times New Roman" w:hAnsi="Times New Roman" w:eastAsia="宋体" w:cs="Times New Roman"/>
                <w:b/>
                <w:bCs/>
                <w:color w:val="auto"/>
                <w:sz w:val="21"/>
                <w:szCs w:val="21"/>
              </w:rPr>
              <w:t>检查方法及地点</w:t>
            </w:r>
          </w:p>
        </w:tc>
        <w:tc>
          <w:tcPr>
            <w:tcW w:w="592" w:type="pct"/>
            <w:gridSpan w:val="2"/>
            <w:noWrap w:val="0"/>
            <w:vAlign w:val="center"/>
          </w:tcPr>
          <w:p w14:paraId="51FD87B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检查</w:t>
            </w:r>
          </w:p>
          <w:p w14:paraId="53810AE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kern w:val="0"/>
                <w:sz w:val="21"/>
                <w:szCs w:val="21"/>
                <w:lang w:val="zh-CN"/>
              </w:rPr>
            </w:pPr>
            <w:r>
              <w:rPr>
                <w:rFonts w:hint="default" w:ascii="Times New Roman" w:hAnsi="Times New Roman" w:eastAsia="宋体" w:cs="Times New Roman"/>
                <w:b/>
                <w:bCs/>
                <w:color w:val="auto"/>
                <w:sz w:val="21"/>
                <w:szCs w:val="21"/>
              </w:rPr>
              <w:t>记录</w:t>
            </w:r>
          </w:p>
        </w:tc>
        <w:tc>
          <w:tcPr>
            <w:tcW w:w="343" w:type="pct"/>
            <w:noWrap w:val="0"/>
            <w:vAlign w:val="center"/>
          </w:tcPr>
          <w:p w14:paraId="37C324D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kern w:val="0"/>
                <w:sz w:val="21"/>
                <w:szCs w:val="21"/>
                <w:lang w:val="zh-CN"/>
              </w:rPr>
            </w:pPr>
            <w:r>
              <w:rPr>
                <w:rFonts w:hint="default" w:ascii="Times New Roman" w:hAnsi="Times New Roman" w:eastAsia="宋体" w:cs="Times New Roman"/>
                <w:b/>
                <w:bCs/>
                <w:color w:val="auto"/>
                <w:kern w:val="0"/>
                <w:sz w:val="21"/>
                <w:szCs w:val="21"/>
                <w:lang w:val="zh-CN"/>
              </w:rPr>
              <w:t>标准</w:t>
            </w:r>
          </w:p>
          <w:p w14:paraId="720C42B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kern w:val="0"/>
                <w:sz w:val="21"/>
                <w:szCs w:val="21"/>
                <w:lang w:val="zh-CN"/>
              </w:rPr>
            </w:pPr>
            <w:r>
              <w:rPr>
                <w:rFonts w:hint="default" w:ascii="Times New Roman" w:hAnsi="Times New Roman" w:eastAsia="宋体" w:cs="Times New Roman"/>
                <w:b/>
                <w:bCs/>
                <w:color w:val="auto"/>
                <w:kern w:val="0"/>
                <w:sz w:val="21"/>
                <w:szCs w:val="21"/>
                <w:lang w:val="zh-CN"/>
              </w:rPr>
              <w:t>分值</w:t>
            </w:r>
          </w:p>
        </w:tc>
        <w:tc>
          <w:tcPr>
            <w:tcW w:w="355" w:type="pct"/>
            <w:noWrap w:val="0"/>
            <w:vAlign w:val="center"/>
          </w:tcPr>
          <w:p w14:paraId="7689EA0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kern w:val="0"/>
                <w:sz w:val="21"/>
                <w:szCs w:val="21"/>
                <w:lang w:val="zh-CN"/>
              </w:rPr>
            </w:pPr>
            <w:r>
              <w:rPr>
                <w:rFonts w:hint="default" w:ascii="Times New Roman" w:hAnsi="Times New Roman" w:eastAsia="宋体" w:cs="Times New Roman"/>
                <w:b/>
                <w:bCs/>
                <w:color w:val="auto"/>
                <w:kern w:val="0"/>
                <w:sz w:val="21"/>
                <w:szCs w:val="21"/>
                <w:lang w:val="zh-CN"/>
              </w:rPr>
              <w:t>评分</w:t>
            </w:r>
          </w:p>
          <w:p w14:paraId="4A6EC1C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kern w:val="0"/>
                <w:sz w:val="21"/>
                <w:szCs w:val="21"/>
                <w:lang w:val="zh-CN"/>
              </w:rPr>
            </w:pPr>
            <w:r>
              <w:rPr>
                <w:rFonts w:hint="default" w:ascii="Times New Roman" w:hAnsi="Times New Roman" w:eastAsia="宋体" w:cs="Times New Roman"/>
                <w:b/>
                <w:bCs/>
                <w:color w:val="auto"/>
                <w:kern w:val="0"/>
                <w:sz w:val="21"/>
                <w:szCs w:val="21"/>
                <w:lang w:val="zh-CN"/>
              </w:rPr>
              <w:t>标准</w:t>
            </w:r>
          </w:p>
        </w:tc>
        <w:tc>
          <w:tcPr>
            <w:tcW w:w="340" w:type="pct"/>
            <w:noWrap w:val="0"/>
            <w:vAlign w:val="center"/>
          </w:tcPr>
          <w:p w14:paraId="437D36A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
                <w:bCs/>
                <w:color w:val="auto"/>
                <w:kern w:val="0"/>
                <w:sz w:val="21"/>
                <w:szCs w:val="21"/>
                <w:lang w:val="zh-CN"/>
              </w:rPr>
            </w:pPr>
            <w:r>
              <w:rPr>
                <w:rFonts w:hint="default" w:ascii="Times New Roman" w:hAnsi="Times New Roman" w:eastAsia="宋体" w:cs="Times New Roman"/>
                <w:b/>
                <w:bCs/>
                <w:color w:val="auto"/>
                <w:kern w:val="0"/>
                <w:sz w:val="21"/>
                <w:szCs w:val="21"/>
                <w:lang w:val="zh-CN"/>
              </w:rPr>
              <w:t>得分</w:t>
            </w:r>
          </w:p>
        </w:tc>
      </w:tr>
      <w:tr w14:paraId="2D6AD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restart"/>
            <w:noWrap w:val="0"/>
            <w:vAlign w:val="center"/>
          </w:tcPr>
          <w:p w14:paraId="7230E0F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初期坝、拦挡坝、堆积坝、副坝、拦水坝坝体和排水棱体</w:t>
            </w:r>
          </w:p>
        </w:tc>
        <w:tc>
          <w:tcPr>
            <w:tcW w:w="163" w:type="pct"/>
            <w:vMerge w:val="restart"/>
            <w:noWrap w:val="0"/>
            <w:vAlign w:val="center"/>
          </w:tcPr>
          <w:p w14:paraId="7E8683B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坝</w:t>
            </w:r>
          </w:p>
          <w:p w14:paraId="32F8422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体</w:t>
            </w:r>
          </w:p>
        </w:tc>
        <w:tc>
          <w:tcPr>
            <w:tcW w:w="1717" w:type="pct"/>
            <w:noWrap w:val="0"/>
            <w:vAlign w:val="center"/>
          </w:tcPr>
          <w:p w14:paraId="0829B19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1.初期坝、拦挡坝、堆积坝、副坝、拦水坝坝体和排水棱体</w:t>
            </w:r>
          </w:p>
          <w:p w14:paraId="048D33A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1.1顶高程必须符合设计要求</w:t>
            </w:r>
          </w:p>
          <w:p w14:paraId="4298574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1.2顶宽度必须符合设计要求</w:t>
            </w:r>
          </w:p>
          <w:p w14:paraId="1699810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1.3筑坝材料必须符合设计要求</w:t>
            </w:r>
          </w:p>
          <w:p w14:paraId="0A14483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1.4内外坡比必须符合设计要求</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当坝坡陡于设计值时</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其稳定性必须符合规范要求</w:t>
            </w:r>
          </w:p>
        </w:tc>
        <w:tc>
          <w:tcPr>
            <w:tcW w:w="634" w:type="pct"/>
            <w:gridSpan w:val="2"/>
            <w:noWrap w:val="0"/>
            <w:vAlign w:val="center"/>
          </w:tcPr>
          <w:p w14:paraId="0658127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《尾矿库安全规程》第5.6.2、6.1.5、6.1.6条</w:t>
            </w:r>
          </w:p>
        </w:tc>
        <w:tc>
          <w:tcPr>
            <w:tcW w:w="527" w:type="pct"/>
            <w:noWrap w:val="0"/>
            <w:vAlign w:val="center"/>
          </w:tcPr>
          <w:p w14:paraId="21FD928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对照设计、稳定性分析文件查现场</w:t>
            </w:r>
          </w:p>
        </w:tc>
        <w:tc>
          <w:tcPr>
            <w:tcW w:w="592" w:type="pct"/>
            <w:gridSpan w:val="2"/>
            <w:noWrap w:val="0"/>
            <w:vAlign w:val="center"/>
          </w:tcPr>
          <w:p w14:paraId="44256D6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eastAsia"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符合要求</w:t>
            </w:r>
          </w:p>
        </w:tc>
        <w:tc>
          <w:tcPr>
            <w:tcW w:w="343" w:type="pct"/>
            <w:noWrap w:val="0"/>
            <w:vAlign w:val="center"/>
          </w:tcPr>
          <w:p w14:paraId="23EABF8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10</w:t>
            </w:r>
          </w:p>
        </w:tc>
        <w:tc>
          <w:tcPr>
            <w:tcW w:w="355" w:type="pct"/>
            <w:noWrap w:val="0"/>
            <w:vAlign w:val="center"/>
          </w:tcPr>
          <w:p w14:paraId="30C39B3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任1项</w:t>
            </w:r>
          </w:p>
          <w:p w14:paraId="0D6C52E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7443BDC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就</w:t>
            </w:r>
          </w:p>
          <w:p w14:paraId="750D845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340" w:type="pct"/>
            <w:noWrap w:val="0"/>
            <w:vAlign w:val="center"/>
          </w:tcPr>
          <w:p w14:paraId="6564E55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10</w:t>
            </w:r>
          </w:p>
        </w:tc>
      </w:tr>
      <w:tr w14:paraId="55339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1C5F039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6C78AAF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717" w:type="pct"/>
            <w:noWrap w:val="0"/>
            <w:vAlign w:val="center"/>
          </w:tcPr>
          <w:p w14:paraId="77D4893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1.5坝体出现贯穿性横向裂缝</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且出现较大范围管涌、流土变形</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坝体出现深层滑动迹象。</w:t>
            </w:r>
          </w:p>
        </w:tc>
        <w:tc>
          <w:tcPr>
            <w:tcW w:w="634" w:type="pct"/>
            <w:gridSpan w:val="2"/>
            <w:vMerge w:val="restart"/>
            <w:noWrap w:val="0"/>
            <w:vAlign w:val="center"/>
          </w:tcPr>
          <w:p w14:paraId="784E99C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《尾矿库安全规程》第6.9条</w:t>
            </w:r>
          </w:p>
        </w:tc>
        <w:tc>
          <w:tcPr>
            <w:tcW w:w="527" w:type="pct"/>
            <w:noWrap w:val="0"/>
            <w:vAlign w:val="center"/>
          </w:tcPr>
          <w:p w14:paraId="5DFD618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592" w:type="pct"/>
            <w:gridSpan w:val="2"/>
            <w:noWrap w:val="0"/>
            <w:vAlign w:val="center"/>
          </w:tcPr>
          <w:p w14:paraId="3E8C42E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无此现象</w:t>
            </w:r>
          </w:p>
        </w:tc>
        <w:tc>
          <w:tcPr>
            <w:tcW w:w="343" w:type="pct"/>
            <w:vMerge w:val="restart"/>
            <w:noWrap w:val="0"/>
            <w:vAlign w:val="center"/>
          </w:tcPr>
          <w:p w14:paraId="013FE44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w:t>
            </w:r>
          </w:p>
          <w:p w14:paraId="4E84F71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险情</w:t>
            </w:r>
          </w:p>
        </w:tc>
        <w:tc>
          <w:tcPr>
            <w:tcW w:w="355" w:type="pct"/>
            <w:noWrap w:val="0"/>
            <w:vAlign w:val="center"/>
          </w:tcPr>
          <w:p w14:paraId="38EB6B9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51690B0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17CB6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61E3610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01DEEC7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717" w:type="pct"/>
            <w:noWrap w:val="0"/>
            <w:vAlign w:val="center"/>
          </w:tcPr>
          <w:p w14:paraId="44B69A6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1.6经验算</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坝体抗滑稳定最小安全系数小于规范值的0.95。</w:t>
            </w:r>
          </w:p>
        </w:tc>
        <w:tc>
          <w:tcPr>
            <w:tcW w:w="634" w:type="pct"/>
            <w:gridSpan w:val="2"/>
            <w:vMerge w:val="continue"/>
            <w:noWrap w:val="0"/>
            <w:vAlign w:val="center"/>
          </w:tcPr>
          <w:p w14:paraId="5E535EF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p>
        </w:tc>
        <w:tc>
          <w:tcPr>
            <w:tcW w:w="527" w:type="pct"/>
            <w:noWrap w:val="0"/>
            <w:vAlign w:val="center"/>
          </w:tcPr>
          <w:p w14:paraId="15FD560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查稳定性分析文件</w:t>
            </w:r>
          </w:p>
        </w:tc>
        <w:tc>
          <w:tcPr>
            <w:tcW w:w="592" w:type="pct"/>
            <w:gridSpan w:val="2"/>
            <w:noWrap w:val="0"/>
            <w:vAlign w:val="center"/>
          </w:tcPr>
          <w:p w14:paraId="4910FE5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符合</w:t>
            </w:r>
          </w:p>
        </w:tc>
        <w:tc>
          <w:tcPr>
            <w:tcW w:w="343" w:type="pct"/>
            <w:vMerge w:val="continue"/>
            <w:noWrap w:val="0"/>
            <w:vAlign w:val="center"/>
          </w:tcPr>
          <w:p w14:paraId="56F559B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55" w:type="pct"/>
            <w:noWrap w:val="0"/>
            <w:vAlign w:val="center"/>
          </w:tcPr>
          <w:p w14:paraId="0380ABE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2EC4925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15D13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restart"/>
            <w:noWrap w:val="0"/>
            <w:vAlign w:val="center"/>
          </w:tcPr>
          <w:p w14:paraId="169EBBB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br w:type="page"/>
            </w:r>
          </w:p>
        </w:tc>
        <w:tc>
          <w:tcPr>
            <w:tcW w:w="163" w:type="pct"/>
            <w:vMerge w:val="restart"/>
            <w:noWrap w:val="0"/>
            <w:vAlign w:val="center"/>
          </w:tcPr>
          <w:p w14:paraId="366CCEF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708626A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1.7坝体出现浅层滑动迹象。</w:t>
            </w:r>
          </w:p>
        </w:tc>
        <w:tc>
          <w:tcPr>
            <w:tcW w:w="730" w:type="pct"/>
            <w:gridSpan w:val="2"/>
            <w:vMerge w:val="restart"/>
            <w:noWrap w:val="0"/>
            <w:vAlign w:val="center"/>
          </w:tcPr>
          <w:p w14:paraId="38AD6D1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《尾矿库安全规程》第6.9条</w:t>
            </w:r>
          </w:p>
        </w:tc>
        <w:tc>
          <w:tcPr>
            <w:tcW w:w="314" w:type="pct"/>
            <w:noWrap w:val="0"/>
            <w:vAlign w:val="center"/>
          </w:tcPr>
          <w:p w14:paraId="606331A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278" w:type="pct"/>
            <w:noWrap w:val="0"/>
            <w:vAlign w:val="center"/>
          </w:tcPr>
          <w:p w14:paraId="0FAEFBC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w:t>
            </w:r>
          </w:p>
          <w:p w14:paraId="7CF00BF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现象</w:t>
            </w:r>
          </w:p>
        </w:tc>
        <w:tc>
          <w:tcPr>
            <w:tcW w:w="343" w:type="pct"/>
            <w:vMerge w:val="restart"/>
            <w:noWrap w:val="0"/>
            <w:vAlign w:val="center"/>
          </w:tcPr>
          <w:p w14:paraId="1305F34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重大隐患</w:t>
            </w:r>
          </w:p>
        </w:tc>
        <w:tc>
          <w:tcPr>
            <w:tcW w:w="355" w:type="pct"/>
            <w:noWrap w:val="0"/>
            <w:vAlign w:val="center"/>
          </w:tcPr>
          <w:p w14:paraId="56E9E4A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0D2CE9B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6A9F3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41AB3D6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39CD483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56CBE00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1.8经验算</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坝体抗滑稳定最小安全系数小于规范值的0.98。</w:t>
            </w:r>
          </w:p>
        </w:tc>
        <w:tc>
          <w:tcPr>
            <w:tcW w:w="730" w:type="pct"/>
            <w:gridSpan w:val="2"/>
            <w:vMerge w:val="continue"/>
            <w:noWrap w:val="0"/>
            <w:vAlign w:val="center"/>
          </w:tcPr>
          <w:p w14:paraId="36CF013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p>
        </w:tc>
        <w:tc>
          <w:tcPr>
            <w:tcW w:w="314" w:type="pct"/>
            <w:noWrap w:val="0"/>
            <w:vAlign w:val="center"/>
          </w:tcPr>
          <w:p w14:paraId="3A63D70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查稳定性分析文件</w:t>
            </w:r>
          </w:p>
        </w:tc>
        <w:tc>
          <w:tcPr>
            <w:tcW w:w="278" w:type="pct"/>
            <w:noWrap w:val="0"/>
            <w:vAlign w:val="center"/>
          </w:tcPr>
          <w:p w14:paraId="4E32EFE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符合</w:t>
            </w:r>
          </w:p>
        </w:tc>
        <w:tc>
          <w:tcPr>
            <w:tcW w:w="343" w:type="pct"/>
            <w:vMerge w:val="continue"/>
            <w:noWrap w:val="0"/>
            <w:vAlign w:val="center"/>
          </w:tcPr>
          <w:p w14:paraId="6E4C021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55" w:type="pct"/>
            <w:noWrap w:val="0"/>
            <w:vAlign w:val="center"/>
          </w:tcPr>
          <w:p w14:paraId="3B75546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7BB14DC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38286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365E162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568BBA1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235F17B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1.9坝体出现大面积纵向裂缝</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且出现较大范围渗透水高位出逸</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出现大面积沼泽化。</w:t>
            </w:r>
          </w:p>
        </w:tc>
        <w:tc>
          <w:tcPr>
            <w:tcW w:w="730" w:type="pct"/>
            <w:gridSpan w:val="2"/>
            <w:vMerge w:val="continue"/>
            <w:noWrap w:val="0"/>
            <w:vAlign w:val="center"/>
          </w:tcPr>
          <w:p w14:paraId="5CEC65B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p>
        </w:tc>
        <w:tc>
          <w:tcPr>
            <w:tcW w:w="314" w:type="pct"/>
            <w:noWrap w:val="0"/>
            <w:vAlign w:val="center"/>
          </w:tcPr>
          <w:p w14:paraId="75DD130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278" w:type="pct"/>
            <w:noWrap w:val="0"/>
            <w:vAlign w:val="center"/>
          </w:tcPr>
          <w:p w14:paraId="75C6AFA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w:t>
            </w:r>
          </w:p>
          <w:p w14:paraId="380984D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现象</w:t>
            </w:r>
          </w:p>
        </w:tc>
        <w:tc>
          <w:tcPr>
            <w:tcW w:w="343" w:type="pct"/>
            <w:vMerge w:val="continue"/>
            <w:noWrap w:val="0"/>
            <w:vAlign w:val="center"/>
          </w:tcPr>
          <w:p w14:paraId="64A9811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55" w:type="pct"/>
            <w:noWrap w:val="0"/>
            <w:vAlign w:val="center"/>
          </w:tcPr>
          <w:p w14:paraId="17B979D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5F44450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6562C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696ED05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4F395D9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7B7ADD5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1.10经验算</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坝体抗滑稳定最小安全系数满足规范规定值</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但部分高程上堆积边坡过陡</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可能出现局部失稳。</w:t>
            </w:r>
          </w:p>
        </w:tc>
        <w:tc>
          <w:tcPr>
            <w:tcW w:w="730" w:type="pct"/>
            <w:gridSpan w:val="2"/>
            <w:vMerge w:val="continue"/>
            <w:noWrap w:val="0"/>
            <w:vAlign w:val="center"/>
          </w:tcPr>
          <w:p w14:paraId="46042D5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p>
        </w:tc>
        <w:tc>
          <w:tcPr>
            <w:tcW w:w="314" w:type="pct"/>
            <w:noWrap w:val="0"/>
            <w:vAlign w:val="center"/>
          </w:tcPr>
          <w:p w14:paraId="362286F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查稳定分析文件和现场</w:t>
            </w:r>
          </w:p>
        </w:tc>
        <w:tc>
          <w:tcPr>
            <w:tcW w:w="278" w:type="pct"/>
            <w:noWrap w:val="0"/>
            <w:vAlign w:val="center"/>
          </w:tcPr>
          <w:p w14:paraId="157661D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w:t>
            </w:r>
          </w:p>
          <w:p w14:paraId="1A21DB5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现象</w:t>
            </w:r>
          </w:p>
        </w:tc>
        <w:tc>
          <w:tcPr>
            <w:tcW w:w="343" w:type="pct"/>
            <w:noWrap w:val="0"/>
            <w:vAlign w:val="center"/>
          </w:tcPr>
          <w:p w14:paraId="468D9A0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一般隐患</w:t>
            </w:r>
          </w:p>
        </w:tc>
        <w:tc>
          <w:tcPr>
            <w:tcW w:w="355" w:type="pct"/>
            <w:noWrap w:val="0"/>
            <w:vAlign w:val="center"/>
          </w:tcPr>
          <w:p w14:paraId="7C11A69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6427AAF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1F307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restart"/>
            <w:noWrap w:val="0"/>
            <w:vAlign w:val="center"/>
          </w:tcPr>
          <w:p w14:paraId="49BE20C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restart"/>
            <w:noWrap w:val="0"/>
            <w:vAlign w:val="center"/>
          </w:tcPr>
          <w:p w14:paraId="10B7465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堆积坝</w:t>
            </w:r>
          </w:p>
        </w:tc>
        <w:tc>
          <w:tcPr>
            <w:tcW w:w="2148" w:type="pct"/>
            <w:gridSpan w:val="2"/>
            <w:noWrap w:val="0"/>
            <w:vAlign w:val="center"/>
          </w:tcPr>
          <w:p w14:paraId="23FA5F9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2.1坝体应设位移、沉降和浸润线观测设施。</w:t>
            </w:r>
          </w:p>
        </w:tc>
        <w:tc>
          <w:tcPr>
            <w:tcW w:w="730" w:type="pct"/>
            <w:gridSpan w:val="2"/>
            <w:noWrap w:val="0"/>
            <w:vAlign w:val="center"/>
          </w:tcPr>
          <w:p w14:paraId="6E70837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《尾矿库安全规程》第5.5.2条</w:t>
            </w:r>
          </w:p>
        </w:tc>
        <w:tc>
          <w:tcPr>
            <w:tcW w:w="314" w:type="pct"/>
            <w:noWrap w:val="0"/>
            <w:vAlign w:val="center"/>
          </w:tcPr>
          <w:p w14:paraId="62BF4F2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对照</w:t>
            </w:r>
            <w:r>
              <w:rPr>
                <w:rFonts w:hint="default" w:ascii="Times New Roman" w:hAnsi="Times New Roman" w:eastAsia="宋体" w:cs="Times New Roman"/>
                <w:color w:val="auto"/>
                <w:kern w:val="0"/>
                <w:sz w:val="21"/>
                <w:szCs w:val="21"/>
                <w:lang w:val="zh-CN"/>
              </w:rPr>
              <w:t>设计查现场</w:t>
            </w:r>
          </w:p>
        </w:tc>
        <w:tc>
          <w:tcPr>
            <w:tcW w:w="278" w:type="pct"/>
            <w:noWrap w:val="0"/>
            <w:vAlign w:val="center"/>
          </w:tcPr>
          <w:p w14:paraId="77E146C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符合</w:t>
            </w:r>
          </w:p>
        </w:tc>
        <w:tc>
          <w:tcPr>
            <w:tcW w:w="343" w:type="pct"/>
            <w:noWrap w:val="0"/>
            <w:vAlign w:val="center"/>
          </w:tcPr>
          <w:p w14:paraId="3917451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355" w:type="pct"/>
            <w:noWrap w:val="0"/>
            <w:vAlign w:val="center"/>
          </w:tcPr>
          <w:p w14:paraId="6F2075B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6032C8B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340" w:type="pct"/>
            <w:noWrap w:val="0"/>
            <w:vAlign w:val="center"/>
          </w:tcPr>
          <w:p w14:paraId="39AF7CA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r>
      <w:tr w14:paraId="095C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1B7F768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2E96A5B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3066BD1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2.2浸润线位置局部过高</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有渗透水逸出</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坝面局部出现沼泽化。</w:t>
            </w:r>
          </w:p>
        </w:tc>
        <w:tc>
          <w:tcPr>
            <w:tcW w:w="730" w:type="pct"/>
            <w:gridSpan w:val="2"/>
            <w:vMerge w:val="restart"/>
            <w:noWrap w:val="0"/>
            <w:vAlign w:val="center"/>
          </w:tcPr>
          <w:p w14:paraId="05F5FAD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《尾矿库安全规程》第6.9条</w:t>
            </w:r>
          </w:p>
        </w:tc>
        <w:tc>
          <w:tcPr>
            <w:tcW w:w="314" w:type="pct"/>
            <w:noWrap w:val="0"/>
            <w:vAlign w:val="center"/>
          </w:tcPr>
          <w:p w14:paraId="525E48C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查观测记录、现场</w:t>
            </w:r>
          </w:p>
        </w:tc>
        <w:tc>
          <w:tcPr>
            <w:tcW w:w="278" w:type="pct"/>
            <w:noWrap w:val="0"/>
            <w:vAlign w:val="center"/>
          </w:tcPr>
          <w:p w14:paraId="70EEB7E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w:t>
            </w:r>
          </w:p>
          <w:p w14:paraId="31AB345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现象</w:t>
            </w:r>
          </w:p>
        </w:tc>
        <w:tc>
          <w:tcPr>
            <w:tcW w:w="343" w:type="pct"/>
            <w:vMerge w:val="restart"/>
            <w:noWrap w:val="0"/>
            <w:vAlign w:val="center"/>
          </w:tcPr>
          <w:p w14:paraId="4509A2E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一般隐患</w:t>
            </w:r>
          </w:p>
        </w:tc>
        <w:tc>
          <w:tcPr>
            <w:tcW w:w="355" w:type="pct"/>
            <w:noWrap w:val="0"/>
            <w:vAlign w:val="center"/>
          </w:tcPr>
          <w:p w14:paraId="08E904F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7E8BD36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正常库</w:t>
            </w:r>
          </w:p>
        </w:tc>
      </w:tr>
      <w:tr w14:paraId="059FD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1D124C4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08AB605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4065FB1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2.3坝面出现纵向或横向裂缝。</w:t>
            </w:r>
          </w:p>
        </w:tc>
        <w:tc>
          <w:tcPr>
            <w:tcW w:w="730" w:type="pct"/>
            <w:gridSpan w:val="2"/>
            <w:vMerge w:val="continue"/>
            <w:noWrap w:val="0"/>
            <w:vAlign w:val="center"/>
          </w:tcPr>
          <w:p w14:paraId="1CD107F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p>
        </w:tc>
        <w:tc>
          <w:tcPr>
            <w:tcW w:w="314" w:type="pct"/>
            <w:noWrap w:val="0"/>
            <w:vAlign w:val="center"/>
          </w:tcPr>
          <w:p w14:paraId="61F3958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278" w:type="pct"/>
            <w:noWrap w:val="0"/>
            <w:vAlign w:val="center"/>
          </w:tcPr>
          <w:p w14:paraId="72E4A4A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无裂缝</w:t>
            </w:r>
          </w:p>
        </w:tc>
        <w:tc>
          <w:tcPr>
            <w:tcW w:w="343" w:type="pct"/>
            <w:vMerge w:val="continue"/>
            <w:noWrap w:val="0"/>
            <w:vAlign w:val="center"/>
          </w:tcPr>
          <w:p w14:paraId="0C60601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55" w:type="pct"/>
            <w:noWrap w:val="0"/>
            <w:vAlign w:val="center"/>
          </w:tcPr>
          <w:p w14:paraId="3A47218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0E6D36B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正常库</w:t>
            </w:r>
          </w:p>
        </w:tc>
      </w:tr>
      <w:tr w14:paraId="038F0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2665560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50CEB09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2A32646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2.4马道的高程、宽度必须符合设计要求。</w:t>
            </w:r>
          </w:p>
        </w:tc>
        <w:tc>
          <w:tcPr>
            <w:tcW w:w="730" w:type="pct"/>
            <w:gridSpan w:val="2"/>
            <w:vMerge w:val="restart"/>
            <w:noWrap w:val="0"/>
            <w:vAlign w:val="center"/>
          </w:tcPr>
          <w:p w14:paraId="5B8E0B9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《尾矿设施设计规范》第4.5.5、4.5.7条</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《尾矿库安全规程》第5.3.20条</w:t>
            </w:r>
          </w:p>
        </w:tc>
        <w:tc>
          <w:tcPr>
            <w:tcW w:w="314" w:type="pct"/>
            <w:vMerge w:val="restart"/>
            <w:noWrap w:val="0"/>
            <w:vAlign w:val="center"/>
          </w:tcPr>
          <w:p w14:paraId="63D3DB7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对照设计查现场</w:t>
            </w:r>
          </w:p>
        </w:tc>
        <w:tc>
          <w:tcPr>
            <w:tcW w:w="278" w:type="pct"/>
            <w:noWrap w:val="0"/>
            <w:vAlign w:val="center"/>
          </w:tcPr>
          <w:p w14:paraId="784539F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符合</w:t>
            </w:r>
          </w:p>
        </w:tc>
        <w:tc>
          <w:tcPr>
            <w:tcW w:w="343" w:type="pct"/>
            <w:noWrap w:val="0"/>
            <w:vAlign w:val="center"/>
          </w:tcPr>
          <w:p w14:paraId="61BE6FA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w:t>
            </w:r>
          </w:p>
        </w:tc>
        <w:tc>
          <w:tcPr>
            <w:tcW w:w="355" w:type="pct"/>
            <w:vMerge w:val="restart"/>
            <w:noWrap w:val="0"/>
            <w:vAlign w:val="center"/>
          </w:tcPr>
          <w:p w14:paraId="45E6E1E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799669B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340" w:type="pct"/>
            <w:noWrap w:val="0"/>
            <w:vAlign w:val="center"/>
          </w:tcPr>
          <w:p w14:paraId="40EA08F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4</w:t>
            </w:r>
          </w:p>
        </w:tc>
      </w:tr>
      <w:tr w14:paraId="58E7B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224BE4B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53591EB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2AF9DE5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2.5坝面排水沟的数量、尺寸必须符合设计要求</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并保持畅通。</w:t>
            </w:r>
          </w:p>
        </w:tc>
        <w:tc>
          <w:tcPr>
            <w:tcW w:w="730" w:type="pct"/>
            <w:gridSpan w:val="2"/>
            <w:vMerge w:val="continue"/>
            <w:noWrap w:val="0"/>
            <w:vAlign w:val="center"/>
          </w:tcPr>
          <w:p w14:paraId="5117B66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p>
        </w:tc>
        <w:tc>
          <w:tcPr>
            <w:tcW w:w="314" w:type="pct"/>
            <w:vMerge w:val="continue"/>
            <w:noWrap w:val="0"/>
            <w:vAlign w:val="center"/>
          </w:tcPr>
          <w:p w14:paraId="71FA32A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78" w:type="pct"/>
            <w:noWrap w:val="0"/>
            <w:vAlign w:val="center"/>
          </w:tcPr>
          <w:p w14:paraId="2844CB0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符合</w:t>
            </w:r>
          </w:p>
        </w:tc>
        <w:tc>
          <w:tcPr>
            <w:tcW w:w="343" w:type="pct"/>
            <w:noWrap w:val="0"/>
            <w:vAlign w:val="center"/>
          </w:tcPr>
          <w:p w14:paraId="6C7CFFA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w:t>
            </w:r>
          </w:p>
        </w:tc>
        <w:tc>
          <w:tcPr>
            <w:tcW w:w="355" w:type="pct"/>
            <w:vMerge w:val="continue"/>
            <w:noWrap w:val="0"/>
            <w:vAlign w:val="center"/>
          </w:tcPr>
          <w:p w14:paraId="416163D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52BD4A9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en-US" w:eastAsia="zh-CN"/>
              </w:rPr>
              <w:t>4</w:t>
            </w:r>
          </w:p>
        </w:tc>
      </w:tr>
      <w:tr w14:paraId="3447B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0043506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6BC0E31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40928DE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2.6上游式尾矿坝的堆积坝下游坡面上</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应结合排渗设施每隔6～10m高差设置排水沟。</w:t>
            </w:r>
          </w:p>
        </w:tc>
        <w:tc>
          <w:tcPr>
            <w:tcW w:w="730" w:type="pct"/>
            <w:gridSpan w:val="2"/>
            <w:vMerge w:val="continue"/>
            <w:noWrap w:val="0"/>
            <w:vAlign w:val="center"/>
          </w:tcPr>
          <w:p w14:paraId="09BFA98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p>
        </w:tc>
        <w:tc>
          <w:tcPr>
            <w:tcW w:w="314" w:type="pct"/>
            <w:noWrap w:val="0"/>
            <w:vAlign w:val="center"/>
          </w:tcPr>
          <w:p w14:paraId="0FAE2B0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 xml:space="preserve"> 对照设计、规范查现场</w:t>
            </w:r>
          </w:p>
        </w:tc>
        <w:tc>
          <w:tcPr>
            <w:tcW w:w="278" w:type="pct"/>
            <w:noWrap w:val="0"/>
            <w:vAlign w:val="center"/>
          </w:tcPr>
          <w:p w14:paraId="42CC046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无此项</w:t>
            </w:r>
          </w:p>
        </w:tc>
        <w:tc>
          <w:tcPr>
            <w:tcW w:w="343" w:type="pct"/>
            <w:noWrap w:val="0"/>
            <w:vAlign w:val="center"/>
          </w:tcPr>
          <w:p w14:paraId="521724D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w:t>
            </w:r>
          </w:p>
        </w:tc>
        <w:tc>
          <w:tcPr>
            <w:tcW w:w="355" w:type="pct"/>
            <w:vMerge w:val="continue"/>
            <w:noWrap w:val="0"/>
            <w:vAlign w:val="center"/>
          </w:tcPr>
          <w:p w14:paraId="3175E8E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2C52FBF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cs="Times New Roman"/>
                <w:color w:val="auto"/>
                <w:kern w:val="0"/>
                <w:sz w:val="21"/>
                <w:szCs w:val="21"/>
                <w:lang w:val="en-US" w:eastAsia="zh-CN"/>
              </w:rPr>
              <w:t>/</w:t>
            </w:r>
          </w:p>
        </w:tc>
      </w:tr>
      <w:tr w14:paraId="1EFB2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5686BB9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5944E52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3509701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2.7坝面未按设计设置排水沟</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冲蚀严重</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形成较多或较大的冲沟。</w:t>
            </w:r>
          </w:p>
        </w:tc>
        <w:tc>
          <w:tcPr>
            <w:tcW w:w="730" w:type="pct"/>
            <w:gridSpan w:val="2"/>
            <w:vMerge w:val="restart"/>
            <w:noWrap w:val="0"/>
            <w:vAlign w:val="center"/>
          </w:tcPr>
          <w:p w14:paraId="13312E7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《尾矿设施设计规范》第4.5.9条</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《尾矿库安全规程》第6.9条、第5.3.20条</w:t>
            </w:r>
          </w:p>
        </w:tc>
        <w:tc>
          <w:tcPr>
            <w:tcW w:w="314" w:type="pct"/>
            <w:noWrap w:val="0"/>
            <w:vAlign w:val="center"/>
          </w:tcPr>
          <w:p w14:paraId="70B7856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278" w:type="pct"/>
            <w:noWrap w:val="0"/>
            <w:vAlign w:val="center"/>
          </w:tcPr>
          <w:p w14:paraId="179C6B7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无此项</w:t>
            </w:r>
          </w:p>
        </w:tc>
        <w:tc>
          <w:tcPr>
            <w:tcW w:w="343" w:type="pct"/>
            <w:vMerge w:val="restart"/>
            <w:noWrap w:val="0"/>
            <w:vAlign w:val="center"/>
          </w:tcPr>
          <w:p w14:paraId="6873C67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一般隐患</w:t>
            </w:r>
          </w:p>
        </w:tc>
        <w:tc>
          <w:tcPr>
            <w:tcW w:w="355" w:type="pct"/>
            <w:noWrap w:val="0"/>
            <w:vAlign w:val="center"/>
          </w:tcPr>
          <w:p w14:paraId="351783B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474922A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en-US" w:eastAsia="zh-CN"/>
              </w:rPr>
              <w:t>/</w:t>
            </w:r>
          </w:p>
        </w:tc>
      </w:tr>
      <w:tr w14:paraId="6ECB7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49B9FEB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4A084C1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519907C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2.8</w:t>
            </w:r>
            <w:r>
              <w:rPr>
                <w:rFonts w:hint="default" w:ascii="Times New Roman" w:hAnsi="Times New Roman" w:eastAsia="宋体" w:cs="Times New Roman"/>
                <w:color w:val="auto"/>
                <w:kern w:val="0"/>
                <w:sz w:val="21"/>
                <w:szCs w:val="21"/>
                <w:lang w:val="zh-CN"/>
              </w:rPr>
              <w:t>尾矿堆积坝下游坡与两岸山坡结合处的山坡上设置的截水沟应符合设计要求</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并畅通。</w:t>
            </w:r>
          </w:p>
        </w:tc>
        <w:tc>
          <w:tcPr>
            <w:tcW w:w="730" w:type="pct"/>
            <w:gridSpan w:val="2"/>
            <w:vMerge w:val="continue"/>
            <w:noWrap w:val="0"/>
            <w:vAlign w:val="center"/>
          </w:tcPr>
          <w:p w14:paraId="69BF7F8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p>
        </w:tc>
        <w:tc>
          <w:tcPr>
            <w:tcW w:w="314" w:type="pct"/>
            <w:vMerge w:val="restart"/>
            <w:noWrap w:val="0"/>
            <w:vAlign w:val="center"/>
          </w:tcPr>
          <w:p w14:paraId="77BD311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对照设计查现场</w:t>
            </w:r>
          </w:p>
        </w:tc>
        <w:tc>
          <w:tcPr>
            <w:tcW w:w="278" w:type="pct"/>
            <w:noWrap w:val="0"/>
            <w:vAlign w:val="center"/>
          </w:tcPr>
          <w:p w14:paraId="176CFFB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符合</w:t>
            </w:r>
          </w:p>
        </w:tc>
        <w:tc>
          <w:tcPr>
            <w:tcW w:w="343" w:type="pct"/>
            <w:vMerge w:val="continue"/>
            <w:noWrap w:val="0"/>
            <w:vAlign w:val="center"/>
          </w:tcPr>
          <w:p w14:paraId="52A41E4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55" w:type="pct"/>
            <w:noWrap w:val="0"/>
            <w:vAlign w:val="center"/>
          </w:tcPr>
          <w:p w14:paraId="6FC9BCB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top"/>
          </w:tcPr>
          <w:p w14:paraId="66BB9C5B">
            <w:pPr>
              <w:keepNext w:val="0"/>
              <w:keepLines w:val="0"/>
              <w:pageBreakBefore w:val="0"/>
              <w:widowControl w:val="0"/>
              <w:kinsoku/>
              <w:wordWrap/>
              <w:overflowPunct/>
              <w:topLinePunct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rPr>
              <w:t>/</w:t>
            </w:r>
          </w:p>
        </w:tc>
      </w:tr>
      <w:tr w14:paraId="034AD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103ABE9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0373070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1F584E2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2.9堆积坝外坡未按设计覆土、植被。</w:t>
            </w:r>
          </w:p>
        </w:tc>
        <w:tc>
          <w:tcPr>
            <w:tcW w:w="730" w:type="pct"/>
            <w:gridSpan w:val="2"/>
            <w:vMerge w:val="continue"/>
            <w:noWrap w:val="0"/>
            <w:vAlign w:val="center"/>
          </w:tcPr>
          <w:p w14:paraId="77F03A9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p>
        </w:tc>
        <w:tc>
          <w:tcPr>
            <w:tcW w:w="314" w:type="pct"/>
            <w:vMerge w:val="continue"/>
            <w:noWrap w:val="0"/>
            <w:vAlign w:val="center"/>
          </w:tcPr>
          <w:p w14:paraId="4529011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78" w:type="pct"/>
            <w:noWrap w:val="0"/>
            <w:vAlign w:val="center"/>
          </w:tcPr>
          <w:p w14:paraId="6A25E54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已覆土</w:t>
            </w:r>
          </w:p>
          <w:p w14:paraId="543C8FD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植被</w:t>
            </w:r>
          </w:p>
        </w:tc>
        <w:tc>
          <w:tcPr>
            <w:tcW w:w="343" w:type="pct"/>
            <w:vMerge w:val="continue"/>
            <w:noWrap w:val="0"/>
            <w:vAlign w:val="center"/>
          </w:tcPr>
          <w:p w14:paraId="36327E0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55" w:type="pct"/>
            <w:noWrap w:val="0"/>
            <w:vAlign w:val="center"/>
          </w:tcPr>
          <w:p w14:paraId="71DA64C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top"/>
          </w:tcPr>
          <w:p w14:paraId="3544B57E">
            <w:pPr>
              <w:keepNext w:val="0"/>
              <w:keepLines w:val="0"/>
              <w:pageBreakBefore w:val="0"/>
              <w:widowControl w:val="0"/>
              <w:kinsoku/>
              <w:wordWrap/>
              <w:overflowPunct/>
              <w:topLinePunct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rPr>
              <w:t>/</w:t>
            </w:r>
          </w:p>
        </w:tc>
      </w:tr>
      <w:tr w14:paraId="5F1F7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17F046C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5E41CCC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229F26A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2.10尾矿坝下游坡面上</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不得有积水坑存在。</w:t>
            </w:r>
          </w:p>
        </w:tc>
        <w:tc>
          <w:tcPr>
            <w:tcW w:w="730" w:type="pct"/>
            <w:gridSpan w:val="2"/>
            <w:noWrap w:val="0"/>
            <w:vAlign w:val="center"/>
          </w:tcPr>
          <w:p w14:paraId="165B15F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《尾矿库安全规程》第6.3.11条</w:t>
            </w:r>
          </w:p>
        </w:tc>
        <w:tc>
          <w:tcPr>
            <w:tcW w:w="314" w:type="pct"/>
            <w:noWrap w:val="0"/>
            <w:vAlign w:val="center"/>
          </w:tcPr>
          <w:p w14:paraId="46EC452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278" w:type="pct"/>
            <w:noWrap w:val="0"/>
            <w:vAlign w:val="center"/>
          </w:tcPr>
          <w:p w14:paraId="0172240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w:t>
            </w:r>
          </w:p>
          <w:p w14:paraId="586C167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现象</w:t>
            </w:r>
          </w:p>
        </w:tc>
        <w:tc>
          <w:tcPr>
            <w:tcW w:w="343" w:type="pct"/>
            <w:noWrap w:val="0"/>
            <w:vAlign w:val="center"/>
          </w:tcPr>
          <w:p w14:paraId="0438D7D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w:t>
            </w:r>
          </w:p>
        </w:tc>
        <w:tc>
          <w:tcPr>
            <w:tcW w:w="355" w:type="pct"/>
            <w:vMerge w:val="restart"/>
            <w:noWrap w:val="0"/>
            <w:vAlign w:val="center"/>
          </w:tcPr>
          <w:p w14:paraId="7AD06D9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0DFE22F7">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340" w:type="pct"/>
            <w:noWrap w:val="0"/>
            <w:vAlign w:val="center"/>
          </w:tcPr>
          <w:p w14:paraId="44E0828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w:t>
            </w:r>
          </w:p>
        </w:tc>
      </w:tr>
      <w:tr w14:paraId="6EFA0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1DE29F9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restart"/>
            <w:noWrap w:val="0"/>
            <w:vAlign w:val="center"/>
          </w:tcPr>
          <w:p w14:paraId="49CC670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拦</w:t>
            </w:r>
            <w:r>
              <w:rPr>
                <w:rFonts w:hint="default" w:ascii="Times New Roman" w:hAnsi="Times New Roman" w:eastAsia="宋体" w:cs="Times New Roman"/>
                <w:color w:val="auto"/>
                <w:kern w:val="0"/>
                <w:sz w:val="21"/>
                <w:szCs w:val="21"/>
              </w:rPr>
              <w:t>挡</w:t>
            </w:r>
            <w:r>
              <w:rPr>
                <w:rFonts w:hint="default" w:ascii="Times New Roman" w:hAnsi="Times New Roman" w:eastAsia="宋体" w:cs="Times New Roman"/>
                <w:color w:val="auto"/>
                <w:kern w:val="0"/>
                <w:sz w:val="21"/>
                <w:szCs w:val="21"/>
                <w:lang w:val="zh-CN"/>
              </w:rPr>
              <w:t>坝</w:t>
            </w:r>
          </w:p>
        </w:tc>
        <w:tc>
          <w:tcPr>
            <w:tcW w:w="2148" w:type="pct"/>
            <w:gridSpan w:val="2"/>
            <w:noWrap w:val="0"/>
            <w:vAlign w:val="center"/>
          </w:tcPr>
          <w:p w14:paraId="4B08494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3.1尾矿库拦挡坝在设计洪水位时</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其安全超高不得小于最小安全超高、最大风雍水面高度和最大风浪爬高三者之和。地震雍浪高度可根据抗震设防烈度和水深确定</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可采用0.5～1.5m。</w:t>
            </w:r>
          </w:p>
        </w:tc>
        <w:tc>
          <w:tcPr>
            <w:tcW w:w="730" w:type="pct"/>
            <w:gridSpan w:val="2"/>
            <w:noWrap w:val="0"/>
            <w:vAlign w:val="center"/>
          </w:tcPr>
          <w:p w14:paraId="3696B6D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《尾矿设施设计规范》第4.2.3条</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《尾矿库安全规程》第5.3.11、5.3.12条</w:t>
            </w:r>
          </w:p>
        </w:tc>
        <w:tc>
          <w:tcPr>
            <w:tcW w:w="314" w:type="pct"/>
            <w:noWrap w:val="0"/>
            <w:vAlign w:val="center"/>
          </w:tcPr>
          <w:p w14:paraId="2B9BD08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对照设计查现场</w:t>
            </w:r>
          </w:p>
        </w:tc>
        <w:tc>
          <w:tcPr>
            <w:tcW w:w="278" w:type="pct"/>
            <w:noWrap w:val="0"/>
            <w:vAlign w:val="center"/>
          </w:tcPr>
          <w:p w14:paraId="7C94E34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符合</w:t>
            </w:r>
          </w:p>
        </w:tc>
        <w:tc>
          <w:tcPr>
            <w:tcW w:w="343" w:type="pct"/>
            <w:noWrap w:val="0"/>
            <w:vAlign w:val="center"/>
          </w:tcPr>
          <w:p w14:paraId="19EC325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355" w:type="pct"/>
            <w:vMerge w:val="continue"/>
            <w:noWrap w:val="0"/>
            <w:vAlign w:val="center"/>
          </w:tcPr>
          <w:p w14:paraId="21694F0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6E228A0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5</w:t>
            </w:r>
          </w:p>
        </w:tc>
      </w:tr>
      <w:tr w14:paraId="3A401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71A4C31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1CD739B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6F54077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3.2挑流鼻坎应与设计的相符</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施工质量合格</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下泄水不得冲刷坝脚。</w:t>
            </w:r>
          </w:p>
        </w:tc>
        <w:tc>
          <w:tcPr>
            <w:tcW w:w="730" w:type="pct"/>
            <w:gridSpan w:val="2"/>
            <w:noWrap w:val="0"/>
            <w:vAlign w:val="center"/>
          </w:tcPr>
          <w:p w14:paraId="163540E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《尾矿库安全规程》第5.6.2条</w:t>
            </w:r>
          </w:p>
        </w:tc>
        <w:tc>
          <w:tcPr>
            <w:tcW w:w="314" w:type="pct"/>
            <w:noWrap w:val="0"/>
            <w:vAlign w:val="center"/>
          </w:tcPr>
          <w:p w14:paraId="57EFE63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对照设计查现场</w:t>
            </w:r>
          </w:p>
        </w:tc>
        <w:tc>
          <w:tcPr>
            <w:tcW w:w="278" w:type="pct"/>
            <w:noWrap w:val="0"/>
            <w:vAlign w:val="center"/>
          </w:tcPr>
          <w:p w14:paraId="5A4DA5E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无此项</w:t>
            </w:r>
          </w:p>
        </w:tc>
        <w:tc>
          <w:tcPr>
            <w:tcW w:w="343" w:type="pct"/>
            <w:noWrap w:val="0"/>
            <w:vAlign w:val="center"/>
          </w:tcPr>
          <w:p w14:paraId="5896FFB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355" w:type="pct"/>
            <w:noWrap w:val="0"/>
            <w:vAlign w:val="center"/>
          </w:tcPr>
          <w:p w14:paraId="7A2A7F0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3AC18AA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w:t>
            </w:r>
          </w:p>
        </w:tc>
      </w:tr>
      <w:tr w14:paraId="004A5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2422676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noWrap w:val="0"/>
            <w:vAlign w:val="center"/>
          </w:tcPr>
          <w:p w14:paraId="3976A44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初期坝</w:t>
            </w:r>
          </w:p>
        </w:tc>
        <w:tc>
          <w:tcPr>
            <w:tcW w:w="2148" w:type="pct"/>
            <w:gridSpan w:val="2"/>
            <w:noWrap w:val="0"/>
            <w:vAlign w:val="center"/>
          </w:tcPr>
          <w:p w14:paraId="1E4C000B">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4.1上游式尾矿堆积坝的初期透水堆石坝坝高与总坝高之比值不宜小于1/8。</w:t>
            </w:r>
          </w:p>
        </w:tc>
        <w:tc>
          <w:tcPr>
            <w:tcW w:w="730" w:type="pct"/>
            <w:gridSpan w:val="2"/>
            <w:noWrap w:val="0"/>
            <w:vAlign w:val="center"/>
          </w:tcPr>
          <w:p w14:paraId="19DB3058">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《尾矿设施设计规范》第4.1.3条</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《尾矿库安全规程》第5.3.3条</w:t>
            </w:r>
          </w:p>
        </w:tc>
        <w:tc>
          <w:tcPr>
            <w:tcW w:w="314" w:type="pct"/>
            <w:noWrap w:val="0"/>
            <w:vAlign w:val="center"/>
          </w:tcPr>
          <w:p w14:paraId="4962CFD5">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查设计与现场并进行验算</w:t>
            </w:r>
          </w:p>
        </w:tc>
        <w:tc>
          <w:tcPr>
            <w:tcW w:w="278" w:type="pct"/>
            <w:noWrap w:val="0"/>
            <w:vAlign w:val="center"/>
          </w:tcPr>
          <w:p w14:paraId="0CD4D1ED">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无此项</w:t>
            </w:r>
          </w:p>
        </w:tc>
        <w:tc>
          <w:tcPr>
            <w:tcW w:w="343" w:type="pct"/>
            <w:noWrap w:val="0"/>
            <w:vAlign w:val="center"/>
          </w:tcPr>
          <w:p w14:paraId="042F7E03">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355" w:type="pct"/>
            <w:noWrap w:val="0"/>
            <w:vAlign w:val="center"/>
          </w:tcPr>
          <w:p w14:paraId="2084B106">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1227148C">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w:t>
            </w:r>
          </w:p>
        </w:tc>
      </w:tr>
      <w:tr w14:paraId="5BA8C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restart"/>
            <w:noWrap w:val="0"/>
            <w:vAlign w:val="center"/>
          </w:tcPr>
          <w:p w14:paraId="6BCE2B7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restart"/>
            <w:noWrap w:val="0"/>
            <w:vAlign w:val="center"/>
          </w:tcPr>
          <w:p w14:paraId="258194C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初期坝</w:t>
            </w:r>
          </w:p>
        </w:tc>
        <w:tc>
          <w:tcPr>
            <w:tcW w:w="2148" w:type="pct"/>
            <w:gridSpan w:val="2"/>
            <w:noWrap w:val="0"/>
            <w:vAlign w:val="center"/>
          </w:tcPr>
          <w:p w14:paraId="4D06F3FC">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zh-CN"/>
              </w:rPr>
              <w:t>4.2透水初期坝上游坡面采用土工布组合反滤层时</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土工布嵌入坝基及坝肩的深度不得小于0.5m</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并需用土料填塞密实。</w:t>
            </w:r>
          </w:p>
        </w:tc>
        <w:tc>
          <w:tcPr>
            <w:tcW w:w="730" w:type="pct"/>
            <w:gridSpan w:val="2"/>
            <w:noWrap w:val="0"/>
            <w:vAlign w:val="center"/>
          </w:tcPr>
          <w:p w14:paraId="6AA8CAAE">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《尾矿设施设计规范》第4.5.4条</w:t>
            </w:r>
          </w:p>
        </w:tc>
        <w:tc>
          <w:tcPr>
            <w:tcW w:w="314" w:type="pct"/>
            <w:noWrap w:val="0"/>
            <w:vAlign w:val="center"/>
          </w:tcPr>
          <w:p w14:paraId="29AE7EA5">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查设计文件、竣工、监理报告、现场</w:t>
            </w:r>
          </w:p>
        </w:tc>
        <w:tc>
          <w:tcPr>
            <w:tcW w:w="278" w:type="pct"/>
            <w:noWrap w:val="0"/>
            <w:vAlign w:val="center"/>
          </w:tcPr>
          <w:p w14:paraId="5850A9A5">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无此项</w:t>
            </w:r>
          </w:p>
        </w:tc>
        <w:tc>
          <w:tcPr>
            <w:tcW w:w="343" w:type="pct"/>
            <w:noWrap w:val="0"/>
            <w:vAlign w:val="center"/>
          </w:tcPr>
          <w:p w14:paraId="2B83C602">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355" w:type="pct"/>
            <w:vMerge w:val="restart"/>
            <w:noWrap w:val="0"/>
            <w:vAlign w:val="center"/>
          </w:tcPr>
          <w:p w14:paraId="2FF78C00">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59BEF777">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340" w:type="pct"/>
            <w:noWrap w:val="0"/>
            <w:vAlign w:val="center"/>
          </w:tcPr>
          <w:p w14:paraId="3448084E">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w:t>
            </w:r>
          </w:p>
        </w:tc>
      </w:tr>
      <w:tr w14:paraId="57ECF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7DBC51A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58BB95C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39D88815">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4.3</w:t>
            </w:r>
            <w:r>
              <w:rPr>
                <w:rFonts w:hint="default" w:ascii="Times New Roman" w:hAnsi="Times New Roman" w:eastAsia="宋体" w:cs="Times New Roman"/>
                <w:color w:val="auto"/>
                <w:sz w:val="21"/>
                <w:szCs w:val="21"/>
              </w:rPr>
              <w:t>初期坝高度的确定除满足初期堆存尾矿、澄清尾矿水、尾矿库回水和冬季放矿要求外</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还应满足初期调蓄洪水要求。</w:t>
            </w:r>
          </w:p>
        </w:tc>
        <w:tc>
          <w:tcPr>
            <w:tcW w:w="730" w:type="pct"/>
            <w:gridSpan w:val="2"/>
            <w:noWrap w:val="0"/>
            <w:vAlign w:val="center"/>
          </w:tcPr>
          <w:p w14:paraId="6B6F0852">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《尾矿设施设计规范》第4.1.3条</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《尾矿库安全规程》第5.3.3条</w:t>
            </w:r>
          </w:p>
        </w:tc>
        <w:tc>
          <w:tcPr>
            <w:tcW w:w="314" w:type="pct"/>
            <w:noWrap w:val="0"/>
            <w:vAlign w:val="center"/>
          </w:tcPr>
          <w:p w14:paraId="1BE23C5E">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查设计</w:t>
            </w:r>
          </w:p>
          <w:p w14:paraId="2F89637B">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与场察</w:t>
            </w:r>
          </w:p>
        </w:tc>
        <w:tc>
          <w:tcPr>
            <w:tcW w:w="278" w:type="pct"/>
            <w:noWrap w:val="0"/>
            <w:vAlign w:val="center"/>
          </w:tcPr>
          <w:p w14:paraId="3BE9BD68">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无此项</w:t>
            </w:r>
          </w:p>
        </w:tc>
        <w:tc>
          <w:tcPr>
            <w:tcW w:w="343" w:type="pct"/>
            <w:noWrap w:val="0"/>
            <w:vAlign w:val="center"/>
          </w:tcPr>
          <w:p w14:paraId="23ADF5A6">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355" w:type="pct"/>
            <w:vMerge w:val="continue"/>
            <w:noWrap w:val="0"/>
            <w:vAlign w:val="center"/>
          </w:tcPr>
          <w:p w14:paraId="7EC455F1">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326CCFCC">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w:t>
            </w:r>
          </w:p>
        </w:tc>
      </w:tr>
      <w:tr w14:paraId="4735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restart"/>
            <w:noWrap w:val="0"/>
            <w:vAlign w:val="center"/>
          </w:tcPr>
          <w:p w14:paraId="5E7A8ED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p w14:paraId="6597E53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初期坝、拦挡坝、堆积坝、副坝、拦水坝坝体和排水棱体</w:t>
            </w:r>
          </w:p>
        </w:tc>
        <w:tc>
          <w:tcPr>
            <w:tcW w:w="163" w:type="pct"/>
            <w:vMerge w:val="restart"/>
            <w:noWrap w:val="0"/>
            <w:vAlign w:val="center"/>
          </w:tcPr>
          <w:p w14:paraId="3865D93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堆积坝</w:t>
            </w:r>
          </w:p>
        </w:tc>
        <w:tc>
          <w:tcPr>
            <w:tcW w:w="2148" w:type="pct"/>
            <w:gridSpan w:val="2"/>
            <w:noWrap w:val="0"/>
            <w:vAlign w:val="center"/>
          </w:tcPr>
          <w:p w14:paraId="7B50767D">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5.1坝上必须配备有通讯照明设备、各种观测设施、救生设备。</w:t>
            </w:r>
          </w:p>
        </w:tc>
        <w:tc>
          <w:tcPr>
            <w:tcW w:w="730" w:type="pct"/>
            <w:gridSpan w:val="2"/>
            <w:noWrap w:val="0"/>
            <w:vAlign w:val="center"/>
          </w:tcPr>
          <w:p w14:paraId="6829B9F3">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《尾矿库安全规程》第9.7.1条</w:t>
            </w:r>
          </w:p>
        </w:tc>
        <w:tc>
          <w:tcPr>
            <w:tcW w:w="314" w:type="pct"/>
            <w:noWrap w:val="0"/>
            <w:vAlign w:val="center"/>
          </w:tcPr>
          <w:p w14:paraId="7A5F74FF">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278" w:type="pct"/>
            <w:noWrap w:val="0"/>
            <w:vAlign w:val="center"/>
          </w:tcPr>
          <w:p w14:paraId="0D8B8BF5">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无救生设备</w:t>
            </w:r>
          </w:p>
        </w:tc>
        <w:tc>
          <w:tcPr>
            <w:tcW w:w="343" w:type="pct"/>
            <w:noWrap w:val="0"/>
            <w:vAlign w:val="center"/>
          </w:tcPr>
          <w:p w14:paraId="218F474F">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355" w:type="pct"/>
            <w:vMerge w:val="restart"/>
            <w:noWrap w:val="0"/>
            <w:vAlign w:val="center"/>
          </w:tcPr>
          <w:p w14:paraId="11DE0DC9">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6674BDE7">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0</w:t>
            </w:r>
          </w:p>
        </w:tc>
      </w:tr>
      <w:tr w14:paraId="13677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69792F4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6519B90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132F27C1">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5.2每一期筑坝充填作业之前</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必须进行岸坡处理。岸坡处理应做隐蔽工程记录</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如遇泉眼水井、地道或洞穴等</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要采取有效措施进行处理</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经主管技术人员检查合格后方可充填筑坝。</w:t>
            </w:r>
          </w:p>
        </w:tc>
        <w:tc>
          <w:tcPr>
            <w:tcW w:w="730" w:type="pct"/>
            <w:gridSpan w:val="2"/>
            <w:noWrap w:val="0"/>
            <w:vAlign w:val="center"/>
          </w:tcPr>
          <w:p w14:paraId="364DC7CF">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《尾矿库安全规程》第6.3.3条</w:t>
            </w:r>
          </w:p>
        </w:tc>
        <w:tc>
          <w:tcPr>
            <w:tcW w:w="314" w:type="pct"/>
            <w:noWrap w:val="0"/>
            <w:vAlign w:val="center"/>
          </w:tcPr>
          <w:p w14:paraId="462CBF0D">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查设尾矿库工程档案、现场</w:t>
            </w:r>
          </w:p>
        </w:tc>
        <w:tc>
          <w:tcPr>
            <w:tcW w:w="278" w:type="pct"/>
            <w:noWrap w:val="0"/>
            <w:vAlign w:val="center"/>
          </w:tcPr>
          <w:p w14:paraId="709FFCA7">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无此项</w:t>
            </w:r>
          </w:p>
        </w:tc>
        <w:tc>
          <w:tcPr>
            <w:tcW w:w="343" w:type="pct"/>
            <w:noWrap w:val="0"/>
            <w:vAlign w:val="center"/>
          </w:tcPr>
          <w:p w14:paraId="06E3B352">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w:t>
            </w:r>
          </w:p>
        </w:tc>
        <w:tc>
          <w:tcPr>
            <w:tcW w:w="355" w:type="pct"/>
            <w:vMerge w:val="continue"/>
            <w:noWrap w:val="0"/>
            <w:vAlign w:val="center"/>
          </w:tcPr>
          <w:p w14:paraId="5104D08D">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114527E9">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w:t>
            </w:r>
          </w:p>
        </w:tc>
      </w:tr>
      <w:tr w14:paraId="6DF86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6455CB3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01DC868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7FA98D15">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5.3每期子坝堆筑完毕</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应进行质量检查</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检查记录需经主管技术人员签字后存档备查。</w:t>
            </w:r>
          </w:p>
        </w:tc>
        <w:tc>
          <w:tcPr>
            <w:tcW w:w="730" w:type="pct"/>
            <w:gridSpan w:val="2"/>
            <w:noWrap w:val="0"/>
            <w:vAlign w:val="center"/>
          </w:tcPr>
          <w:p w14:paraId="7BCC7E8C">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《尾矿库安全规程》第6.1.6、6.3.5条</w:t>
            </w:r>
          </w:p>
        </w:tc>
        <w:tc>
          <w:tcPr>
            <w:tcW w:w="314" w:type="pct"/>
            <w:noWrap w:val="0"/>
            <w:vAlign w:val="center"/>
          </w:tcPr>
          <w:p w14:paraId="1254276B">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查现场查尾矿库工程档案</w:t>
            </w:r>
          </w:p>
        </w:tc>
        <w:tc>
          <w:tcPr>
            <w:tcW w:w="278" w:type="pct"/>
            <w:noWrap w:val="0"/>
            <w:vAlign w:val="center"/>
          </w:tcPr>
          <w:p w14:paraId="48F796DE">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无此项</w:t>
            </w:r>
          </w:p>
        </w:tc>
        <w:tc>
          <w:tcPr>
            <w:tcW w:w="343" w:type="pct"/>
            <w:noWrap w:val="0"/>
            <w:vAlign w:val="center"/>
          </w:tcPr>
          <w:p w14:paraId="62133D1E">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355" w:type="pct"/>
            <w:vMerge w:val="continue"/>
            <w:noWrap w:val="0"/>
            <w:vAlign w:val="center"/>
          </w:tcPr>
          <w:p w14:paraId="21D85B2A">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498A746D">
            <w:pPr>
              <w:keepNext w:val="0"/>
              <w:keepLines w:val="0"/>
              <w:pageBreakBefore w:val="0"/>
              <w:widowControl w:val="0"/>
              <w:kinsoku/>
              <w:wordWrap/>
              <w:overflowPunct/>
              <w:topLinePunct w:val="0"/>
              <w:autoSpaceDE w:val="0"/>
              <w:autoSpaceDN w:val="0"/>
              <w:bidi w:val="0"/>
              <w:adjustRightInd w:val="0"/>
              <w:snapToGrid/>
              <w:spacing w:line="33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w:t>
            </w:r>
          </w:p>
        </w:tc>
      </w:tr>
      <w:tr w14:paraId="7FD56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247198F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2644BF3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6C8EA7A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5.4坝下游坡面不得有冲刷、拉沟现象。</w:t>
            </w:r>
          </w:p>
        </w:tc>
        <w:tc>
          <w:tcPr>
            <w:tcW w:w="730" w:type="pct"/>
            <w:gridSpan w:val="2"/>
            <w:noWrap w:val="0"/>
            <w:vAlign w:val="center"/>
          </w:tcPr>
          <w:p w14:paraId="1C81D00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《尾矿库安全规程》第6.3.11条</w:t>
            </w:r>
          </w:p>
        </w:tc>
        <w:tc>
          <w:tcPr>
            <w:tcW w:w="314" w:type="pct"/>
            <w:noWrap w:val="0"/>
            <w:vAlign w:val="center"/>
          </w:tcPr>
          <w:p w14:paraId="53652B7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278" w:type="pct"/>
            <w:noWrap w:val="0"/>
            <w:vAlign w:val="center"/>
          </w:tcPr>
          <w:p w14:paraId="15FF382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w:t>
            </w:r>
          </w:p>
          <w:p w14:paraId="31D7194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现象</w:t>
            </w:r>
          </w:p>
        </w:tc>
        <w:tc>
          <w:tcPr>
            <w:tcW w:w="343" w:type="pct"/>
            <w:noWrap w:val="0"/>
            <w:vAlign w:val="center"/>
          </w:tcPr>
          <w:p w14:paraId="2446C1E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w:t>
            </w:r>
          </w:p>
        </w:tc>
        <w:tc>
          <w:tcPr>
            <w:tcW w:w="355" w:type="pct"/>
            <w:noWrap w:val="0"/>
            <w:vAlign w:val="center"/>
          </w:tcPr>
          <w:p w14:paraId="6564457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63B144DD">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4</w:t>
            </w:r>
          </w:p>
        </w:tc>
      </w:tr>
      <w:tr w14:paraId="002F1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075859C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69EBE51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01D2C33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5.5若同一尾矿库内</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建有一座或几座尾矿堆积坝体时</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不得将细粒尾矿排至尾矿堆积坝前。</w:t>
            </w:r>
          </w:p>
        </w:tc>
        <w:tc>
          <w:tcPr>
            <w:tcW w:w="730" w:type="pct"/>
            <w:gridSpan w:val="2"/>
            <w:noWrap w:val="0"/>
            <w:vAlign w:val="center"/>
          </w:tcPr>
          <w:p w14:paraId="33D4BAE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《冶金矿山尾矿设施管理规程》第4.2.9条</w:t>
            </w:r>
          </w:p>
        </w:tc>
        <w:tc>
          <w:tcPr>
            <w:tcW w:w="314" w:type="pct"/>
            <w:noWrap w:val="0"/>
            <w:vAlign w:val="center"/>
          </w:tcPr>
          <w:p w14:paraId="00ECAFB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278" w:type="pct"/>
            <w:noWrap w:val="0"/>
            <w:vAlign w:val="center"/>
          </w:tcPr>
          <w:p w14:paraId="453CAF3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无此项</w:t>
            </w:r>
          </w:p>
        </w:tc>
        <w:tc>
          <w:tcPr>
            <w:tcW w:w="343" w:type="pct"/>
            <w:noWrap w:val="0"/>
            <w:vAlign w:val="center"/>
          </w:tcPr>
          <w:p w14:paraId="09CB3C7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355" w:type="pct"/>
            <w:vMerge w:val="restart"/>
            <w:noWrap w:val="0"/>
            <w:vAlign w:val="center"/>
          </w:tcPr>
          <w:p w14:paraId="771A4D1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7FFC310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zh-CN"/>
              </w:rPr>
              <w:t xml:space="preserve"> </w:t>
            </w:r>
            <w:r>
              <w:rPr>
                <w:rFonts w:hint="default" w:ascii="Times New Roman" w:hAnsi="Times New Roman" w:eastAsia="宋体" w:cs="Times New Roman"/>
                <w:color w:val="auto"/>
                <w:kern w:val="0"/>
                <w:sz w:val="21"/>
                <w:szCs w:val="21"/>
                <w:lang w:val="en-US" w:eastAsia="zh-CN"/>
              </w:rPr>
              <w:t>/</w:t>
            </w:r>
          </w:p>
        </w:tc>
      </w:tr>
      <w:tr w14:paraId="3A651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3376EA9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29AC45A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7E3F5E4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5.6坝面不得出现局部隆起、塌陷、流土、管涌、渗水量增大或渗水变浑等异常情况。</w:t>
            </w:r>
          </w:p>
        </w:tc>
        <w:tc>
          <w:tcPr>
            <w:tcW w:w="730" w:type="pct"/>
            <w:gridSpan w:val="2"/>
            <w:noWrap w:val="0"/>
            <w:vAlign w:val="center"/>
          </w:tcPr>
          <w:p w14:paraId="5611640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《尾矿库安全规程》第6.9条</w:t>
            </w:r>
          </w:p>
        </w:tc>
        <w:tc>
          <w:tcPr>
            <w:tcW w:w="314" w:type="pct"/>
            <w:noWrap w:val="0"/>
            <w:vAlign w:val="center"/>
          </w:tcPr>
          <w:p w14:paraId="5C991C7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查记录、现场</w:t>
            </w:r>
          </w:p>
        </w:tc>
        <w:tc>
          <w:tcPr>
            <w:tcW w:w="278" w:type="pct"/>
            <w:noWrap w:val="0"/>
            <w:vAlign w:val="center"/>
          </w:tcPr>
          <w:p w14:paraId="58AC656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w:t>
            </w:r>
          </w:p>
          <w:p w14:paraId="0EE190FE">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现象</w:t>
            </w:r>
          </w:p>
        </w:tc>
        <w:tc>
          <w:tcPr>
            <w:tcW w:w="343" w:type="pct"/>
            <w:noWrap w:val="0"/>
            <w:vAlign w:val="center"/>
          </w:tcPr>
          <w:p w14:paraId="07D53073">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355" w:type="pct"/>
            <w:vMerge w:val="continue"/>
            <w:noWrap w:val="0"/>
            <w:vAlign w:val="center"/>
          </w:tcPr>
          <w:p w14:paraId="4615F37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3A2A49F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r>
      <w:tr w14:paraId="1C3F8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59DB508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585EF109">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1600037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pacing w:val="4"/>
                <w:kern w:val="0"/>
                <w:sz w:val="21"/>
                <w:szCs w:val="21"/>
              </w:rPr>
            </w:pPr>
            <w:r>
              <w:rPr>
                <w:rFonts w:hint="default" w:ascii="Times New Roman" w:hAnsi="Times New Roman" w:eastAsia="宋体" w:cs="Times New Roman"/>
                <w:color w:val="auto"/>
                <w:spacing w:val="4"/>
                <w:kern w:val="0"/>
                <w:sz w:val="21"/>
                <w:szCs w:val="21"/>
              </w:rPr>
              <w:t>5.7上游式尾矿筑坝</w:t>
            </w:r>
            <w:r>
              <w:rPr>
                <w:rFonts w:hint="eastAsia" w:ascii="Times New Roman" w:hAnsi="Times New Roman"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应于坝前均匀分散放矿（修子坝或移动放矿管时除外）。在沉积滩范围内不允许有大面积矿泥沉积；沉积滩顶应均匀平整：沉积滩坡度及长度等应符合设计要求；矿浆排放不得冲刷初期坝和子坝</w:t>
            </w:r>
            <w:r>
              <w:rPr>
                <w:rFonts w:hint="eastAsia" w:ascii="Times New Roman" w:hAnsi="Times New Roman"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严禁矿浆沿子坝内坡趾流动冲刷坝体；放矿是否有专人管理。</w:t>
            </w:r>
          </w:p>
        </w:tc>
        <w:tc>
          <w:tcPr>
            <w:tcW w:w="730" w:type="pct"/>
            <w:gridSpan w:val="2"/>
            <w:noWrap w:val="0"/>
            <w:vAlign w:val="center"/>
          </w:tcPr>
          <w:p w14:paraId="415DB8F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《尾矿库安全规程》第6.3.4条</w:t>
            </w:r>
          </w:p>
        </w:tc>
        <w:tc>
          <w:tcPr>
            <w:tcW w:w="314" w:type="pct"/>
            <w:vMerge w:val="restart"/>
            <w:noWrap w:val="0"/>
            <w:vAlign w:val="center"/>
          </w:tcPr>
          <w:p w14:paraId="77960E6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查尾矿库工程档案、现场</w:t>
            </w:r>
          </w:p>
        </w:tc>
        <w:tc>
          <w:tcPr>
            <w:tcW w:w="278" w:type="pct"/>
            <w:noWrap w:val="0"/>
            <w:vAlign w:val="center"/>
          </w:tcPr>
          <w:p w14:paraId="26582EE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一次性坝</w:t>
            </w:r>
            <w:r>
              <w:rPr>
                <w:rFonts w:hint="default" w:ascii="Times New Roman" w:hAnsi="Times New Roman" w:eastAsia="宋体" w:cs="Times New Roman"/>
                <w:color w:val="auto"/>
                <w:kern w:val="0"/>
                <w:sz w:val="21"/>
                <w:szCs w:val="21"/>
                <w:lang w:val="en-US" w:eastAsia="zh-CN"/>
              </w:rPr>
              <w:t>。</w:t>
            </w:r>
          </w:p>
        </w:tc>
        <w:tc>
          <w:tcPr>
            <w:tcW w:w="343" w:type="pct"/>
            <w:noWrap w:val="0"/>
            <w:vAlign w:val="center"/>
          </w:tcPr>
          <w:p w14:paraId="2CFFA13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符合</w:t>
            </w:r>
          </w:p>
        </w:tc>
        <w:tc>
          <w:tcPr>
            <w:tcW w:w="355" w:type="pct"/>
            <w:noWrap w:val="0"/>
            <w:vAlign w:val="center"/>
          </w:tcPr>
          <w:p w14:paraId="6A877FE8">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5B5A489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340" w:type="pct"/>
            <w:noWrap w:val="0"/>
            <w:vAlign w:val="center"/>
          </w:tcPr>
          <w:p w14:paraId="0340242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w:t>
            </w:r>
          </w:p>
        </w:tc>
      </w:tr>
      <w:tr w14:paraId="4541D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vMerge w:val="continue"/>
            <w:noWrap w:val="0"/>
            <w:vAlign w:val="center"/>
          </w:tcPr>
          <w:p w14:paraId="47B6A3A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163" w:type="pct"/>
            <w:vMerge w:val="continue"/>
            <w:noWrap w:val="0"/>
            <w:vAlign w:val="center"/>
          </w:tcPr>
          <w:p w14:paraId="735080A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2148" w:type="pct"/>
            <w:gridSpan w:val="2"/>
            <w:noWrap w:val="0"/>
            <w:vAlign w:val="center"/>
          </w:tcPr>
          <w:p w14:paraId="62598FC0">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pacing w:val="4"/>
                <w:kern w:val="0"/>
                <w:sz w:val="21"/>
                <w:szCs w:val="21"/>
              </w:rPr>
            </w:pPr>
            <w:r>
              <w:rPr>
                <w:rFonts w:hint="default" w:ascii="Times New Roman" w:hAnsi="Times New Roman" w:eastAsia="宋体" w:cs="Times New Roman"/>
                <w:color w:val="auto"/>
                <w:spacing w:val="4"/>
                <w:kern w:val="0"/>
                <w:sz w:val="21"/>
                <w:szCs w:val="21"/>
              </w:rPr>
              <w:t>5.8坝体较长时应采用分段交替放矿作业</w:t>
            </w:r>
            <w:r>
              <w:rPr>
                <w:rFonts w:hint="eastAsia" w:ascii="Times New Roman" w:hAnsi="Times New Roman"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使坝体均匀上升</w:t>
            </w:r>
            <w:r>
              <w:rPr>
                <w:rFonts w:hint="eastAsia" w:ascii="Times New Roman" w:hAnsi="Times New Roman"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滩面不得出现侧坡、扇形坡或细颗粒尾矿大量集中沉积于一端或一侧。</w:t>
            </w:r>
          </w:p>
        </w:tc>
        <w:tc>
          <w:tcPr>
            <w:tcW w:w="730" w:type="pct"/>
            <w:gridSpan w:val="2"/>
            <w:noWrap w:val="0"/>
            <w:vAlign w:val="center"/>
          </w:tcPr>
          <w:p w14:paraId="11921AE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《尾矿库安全规程》第6.3.4条</w:t>
            </w:r>
          </w:p>
        </w:tc>
        <w:tc>
          <w:tcPr>
            <w:tcW w:w="314" w:type="pct"/>
            <w:vMerge w:val="continue"/>
            <w:noWrap w:val="0"/>
            <w:vAlign w:val="center"/>
          </w:tcPr>
          <w:p w14:paraId="280ED8DF">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rPr>
            </w:pPr>
          </w:p>
        </w:tc>
        <w:tc>
          <w:tcPr>
            <w:tcW w:w="278" w:type="pct"/>
            <w:noWrap w:val="0"/>
            <w:vAlign w:val="center"/>
          </w:tcPr>
          <w:p w14:paraId="23D0E9D2">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无此项</w:t>
            </w:r>
            <w:r>
              <w:rPr>
                <w:rFonts w:hint="default" w:ascii="Times New Roman" w:hAnsi="Times New Roman" w:eastAsia="宋体" w:cs="Times New Roman"/>
                <w:color w:val="auto"/>
                <w:kern w:val="0"/>
                <w:sz w:val="21"/>
                <w:szCs w:val="21"/>
                <w:lang w:val="en-US" w:eastAsia="zh-CN"/>
              </w:rPr>
              <w:t>。</w:t>
            </w:r>
          </w:p>
        </w:tc>
        <w:tc>
          <w:tcPr>
            <w:tcW w:w="343" w:type="pct"/>
            <w:noWrap w:val="0"/>
            <w:vAlign w:val="center"/>
          </w:tcPr>
          <w:p w14:paraId="0E3B992A">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6</w:t>
            </w:r>
          </w:p>
        </w:tc>
        <w:tc>
          <w:tcPr>
            <w:tcW w:w="355" w:type="pct"/>
            <w:noWrap w:val="0"/>
            <w:vAlign w:val="center"/>
          </w:tcPr>
          <w:p w14:paraId="3DF19D6C">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3CF680E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340" w:type="pct"/>
            <w:noWrap w:val="0"/>
            <w:vAlign w:val="center"/>
          </w:tcPr>
          <w:p w14:paraId="672C6CB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w:t>
            </w:r>
          </w:p>
        </w:tc>
      </w:tr>
      <w:tr w14:paraId="754F4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326" w:type="pct"/>
            <w:noWrap w:val="0"/>
            <w:vAlign w:val="center"/>
          </w:tcPr>
          <w:p w14:paraId="4B7D31C6">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小计</w:t>
            </w:r>
          </w:p>
        </w:tc>
        <w:tc>
          <w:tcPr>
            <w:tcW w:w="3634" w:type="pct"/>
            <w:gridSpan w:val="7"/>
            <w:noWrap w:val="0"/>
            <w:vAlign w:val="center"/>
          </w:tcPr>
          <w:p w14:paraId="21C28634">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43" w:type="pct"/>
            <w:noWrap w:val="0"/>
            <w:vAlign w:val="center"/>
          </w:tcPr>
          <w:p w14:paraId="730E350B">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44</w:t>
            </w:r>
          </w:p>
        </w:tc>
        <w:tc>
          <w:tcPr>
            <w:tcW w:w="355" w:type="pct"/>
            <w:noWrap w:val="0"/>
            <w:vAlign w:val="center"/>
          </w:tcPr>
          <w:p w14:paraId="0865DDD1">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340" w:type="pct"/>
            <w:noWrap w:val="0"/>
            <w:vAlign w:val="center"/>
          </w:tcPr>
          <w:p w14:paraId="66C0E0A5">
            <w:pPr>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42</w:t>
            </w:r>
          </w:p>
        </w:tc>
      </w:tr>
    </w:tbl>
    <w:p w14:paraId="25CF13D2">
      <w:pPr>
        <w:pStyle w:val="5"/>
        <w:bidi w:val="0"/>
        <w:rPr>
          <w:rFonts w:hint="default" w:ascii="Times New Roman" w:hAnsi="Times New Roman" w:cs="Times New Roman"/>
          <w:color w:val="auto"/>
          <w:lang w:val="en-US" w:eastAsia="zh-CN"/>
        </w:rPr>
      </w:pPr>
      <w:bookmarkStart w:id="156" w:name="_Toc13555"/>
      <w:r>
        <w:rPr>
          <w:rFonts w:hint="default" w:ascii="Times New Roman" w:hAnsi="Times New Roman" w:cs="Times New Roman"/>
          <w:color w:val="auto"/>
          <w:lang w:val="en-US" w:eastAsia="zh-CN"/>
        </w:rPr>
        <w:t>5.2.2 尾矿坝稳定性分析</w:t>
      </w:r>
      <w:bookmarkEnd w:id="156"/>
    </w:p>
    <w:p w14:paraId="20090051">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1.坝体稳定的计算方法</w:t>
      </w:r>
    </w:p>
    <w:p w14:paraId="546F4F16">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根据《尾矿设施设计规范》</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尾矿初期坝与堆积坝坝坡的抗滑稳定性应根据坝体材料及坝基的物理力学性质经计算确定。计算方法应采用简化毕肖普法或瑞典圆弧法</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 xml:space="preserve">地震荷载应按拟静力法计算。本次稳定计算采用瑞典圆弧法计算。 </w:t>
      </w:r>
    </w:p>
    <w:p w14:paraId="4D4D202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2.坝体稳定分析要求 </w:t>
      </w:r>
    </w:p>
    <w:p w14:paraId="71F6FB1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本尾矿库所在地区地震设防烈度为6度</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根据《构筑物抗震设计规范》规定</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6度时</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四、五级尾矿坝可不进行抗震验算</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但应符合相应的抗震构造措施要求。本尾矿库为</w:t>
      </w:r>
      <w:r>
        <w:rPr>
          <w:rFonts w:hint="eastAsia" w:ascii="Times New Roman" w:hAnsi="Times New Roman" w:cs="Times New Roman"/>
          <w:color w:val="auto"/>
          <w:lang w:val="en-US" w:eastAsia="zh-CN"/>
        </w:rPr>
        <w:t>5</w:t>
      </w:r>
      <w:r>
        <w:rPr>
          <w:rFonts w:hint="default" w:ascii="Times New Roman" w:hAnsi="Times New Roman" w:cs="Times New Roman"/>
          <w:color w:val="auto"/>
          <w:lang w:val="en-US" w:eastAsia="zh-CN"/>
        </w:rPr>
        <w:t>等尾矿库</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尾矿库所在地区抗震设防烈度为6度。稳定计算考虑正常运行、洪水运行、特殊运行三种运行条件。根据《尾矿设施设计规范》</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不同运行条件的荷载组合见表5.2.2-1。</w:t>
      </w:r>
    </w:p>
    <w:p w14:paraId="0040C94F">
      <w:pPr>
        <w:ind w:left="0" w:leftChars="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表5.2.2-1尾矿坝稳定计算的荷载组合</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1"/>
        <w:gridCol w:w="2576"/>
        <w:gridCol w:w="986"/>
        <w:gridCol w:w="986"/>
        <w:gridCol w:w="986"/>
        <w:gridCol w:w="986"/>
        <w:gridCol w:w="987"/>
      </w:tblGrid>
      <w:tr w14:paraId="73796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blHeader/>
          <w:jc w:val="center"/>
        </w:trPr>
        <w:tc>
          <w:tcPr>
            <w:tcW w:w="1129" w:type="pct"/>
            <w:vAlign w:val="center"/>
          </w:tcPr>
          <w:p w14:paraId="15F97BA9">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运行条件</w:t>
            </w:r>
          </w:p>
        </w:tc>
        <w:tc>
          <w:tcPr>
            <w:tcW w:w="1557" w:type="pct"/>
            <w:tcBorders>
              <w:tl2br w:val="single" w:color="auto" w:sz="4" w:space="0"/>
            </w:tcBorders>
            <w:vAlign w:val="center"/>
          </w:tcPr>
          <w:p w14:paraId="005D2628">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          荷载类别</w:t>
            </w:r>
          </w:p>
          <w:p w14:paraId="436249B5">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计算方法</w:t>
            </w:r>
          </w:p>
        </w:tc>
        <w:tc>
          <w:tcPr>
            <w:tcW w:w="463" w:type="pct"/>
            <w:vAlign w:val="center"/>
          </w:tcPr>
          <w:p w14:paraId="264504BB">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63" w:type="pct"/>
            <w:vAlign w:val="center"/>
          </w:tcPr>
          <w:p w14:paraId="45B19C24">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463" w:type="pct"/>
            <w:vAlign w:val="center"/>
          </w:tcPr>
          <w:p w14:paraId="0BB440AC">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463" w:type="pct"/>
            <w:vAlign w:val="center"/>
          </w:tcPr>
          <w:p w14:paraId="7859B381">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462" w:type="pct"/>
            <w:vAlign w:val="center"/>
          </w:tcPr>
          <w:p w14:paraId="06D7C809">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r>
      <w:tr w14:paraId="685D8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129" w:type="pct"/>
            <w:vMerge w:val="restart"/>
            <w:vAlign w:val="center"/>
          </w:tcPr>
          <w:p w14:paraId="45394CFB">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正常运行</w:t>
            </w:r>
          </w:p>
        </w:tc>
        <w:tc>
          <w:tcPr>
            <w:tcW w:w="1557" w:type="pct"/>
            <w:vAlign w:val="center"/>
          </w:tcPr>
          <w:p w14:paraId="4DE3C817">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总应力法</w:t>
            </w:r>
          </w:p>
        </w:tc>
        <w:tc>
          <w:tcPr>
            <w:tcW w:w="463" w:type="pct"/>
            <w:vAlign w:val="center"/>
          </w:tcPr>
          <w:p w14:paraId="35AA08BB">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04DF237E">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4D226A02">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63" w:type="pct"/>
            <w:vAlign w:val="center"/>
          </w:tcPr>
          <w:p w14:paraId="0EB26DEB">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62" w:type="pct"/>
            <w:vAlign w:val="center"/>
          </w:tcPr>
          <w:p w14:paraId="15601F58">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3F181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129" w:type="pct"/>
            <w:vMerge w:val="continue"/>
            <w:vAlign w:val="center"/>
          </w:tcPr>
          <w:p w14:paraId="0732D960">
            <w:pPr>
              <w:bidi w:val="0"/>
              <w:rPr>
                <w:rFonts w:hint="default" w:ascii="Times New Roman" w:hAnsi="Times New Roman" w:cs="Times New Roman"/>
                <w:color w:val="auto"/>
                <w:sz w:val="21"/>
                <w:szCs w:val="21"/>
              </w:rPr>
            </w:pPr>
          </w:p>
        </w:tc>
        <w:tc>
          <w:tcPr>
            <w:tcW w:w="1557" w:type="pct"/>
            <w:vAlign w:val="center"/>
          </w:tcPr>
          <w:p w14:paraId="1CD2A9F4">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有效应力法</w:t>
            </w:r>
          </w:p>
        </w:tc>
        <w:tc>
          <w:tcPr>
            <w:tcW w:w="463" w:type="pct"/>
            <w:vAlign w:val="center"/>
          </w:tcPr>
          <w:p w14:paraId="43CCAAA1">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0C0D806E">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6C2F05A8">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57CBA4A7">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62" w:type="pct"/>
            <w:vAlign w:val="center"/>
          </w:tcPr>
          <w:p w14:paraId="06862E6E">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7E16D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129" w:type="pct"/>
            <w:vMerge w:val="restart"/>
            <w:vAlign w:val="center"/>
          </w:tcPr>
          <w:p w14:paraId="6302DED9">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洪水运行</w:t>
            </w:r>
          </w:p>
        </w:tc>
        <w:tc>
          <w:tcPr>
            <w:tcW w:w="1557" w:type="pct"/>
            <w:vAlign w:val="center"/>
          </w:tcPr>
          <w:p w14:paraId="47F179BC">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总应力法</w:t>
            </w:r>
          </w:p>
        </w:tc>
        <w:tc>
          <w:tcPr>
            <w:tcW w:w="463" w:type="pct"/>
            <w:vAlign w:val="center"/>
          </w:tcPr>
          <w:p w14:paraId="07701B75">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63" w:type="pct"/>
            <w:vAlign w:val="center"/>
          </w:tcPr>
          <w:p w14:paraId="203243BC">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7B2F77DD">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63" w:type="pct"/>
            <w:vAlign w:val="center"/>
          </w:tcPr>
          <w:p w14:paraId="22B5A3F1">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2" w:type="pct"/>
            <w:vAlign w:val="center"/>
          </w:tcPr>
          <w:p w14:paraId="11BFDD18">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6F357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129" w:type="pct"/>
            <w:vMerge w:val="continue"/>
            <w:vAlign w:val="center"/>
          </w:tcPr>
          <w:p w14:paraId="67EC1232">
            <w:pPr>
              <w:bidi w:val="0"/>
              <w:rPr>
                <w:rFonts w:hint="default" w:ascii="Times New Roman" w:hAnsi="Times New Roman" w:cs="Times New Roman"/>
                <w:color w:val="auto"/>
                <w:sz w:val="21"/>
                <w:szCs w:val="21"/>
              </w:rPr>
            </w:pPr>
          </w:p>
        </w:tc>
        <w:tc>
          <w:tcPr>
            <w:tcW w:w="1557" w:type="pct"/>
            <w:vAlign w:val="center"/>
          </w:tcPr>
          <w:p w14:paraId="7A3C248B">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有效应力法</w:t>
            </w:r>
          </w:p>
        </w:tc>
        <w:tc>
          <w:tcPr>
            <w:tcW w:w="463" w:type="pct"/>
            <w:vAlign w:val="center"/>
          </w:tcPr>
          <w:p w14:paraId="623A1787">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63" w:type="pct"/>
            <w:vAlign w:val="center"/>
          </w:tcPr>
          <w:p w14:paraId="6EAF4B6E">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7D382315">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6DF92132">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2" w:type="pct"/>
            <w:vAlign w:val="center"/>
          </w:tcPr>
          <w:p w14:paraId="08ACB79F">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3C821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129" w:type="pct"/>
            <w:vMerge w:val="restart"/>
            <w:vAlign w:val="center"/>
          </w:tcPr>
          <w:p w14:paraId="12B2E476">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特殊运行</w:t>
            </w:r>
          </w:p>
        </w:tc>
        <w:tc>
          <w:tcPr>
            <w:tcW w:w="1557" w:type="pct"/>
            <w:vAlign w:val="center"/>
          </w:tcPr>
          <w:p w14:paraId="1B168E06">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总应力法</w:t>
            </w:r>
          </w:p>
        </w:tc>
        <w:tc>
          <w:tcPr>
            <w:tcW w:w="463" w:type="pct"/>
            <w:vAlign w:val="center"/>
          </w:tcPr>
          <w:p w14:paraId="6DF55AD5">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1E290BCF">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4B1F7FCC">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63" w:type="pct"/>
            <w:vAlign w:val="center"/>
          </w:tcPr>
          <w:p w14:paraId="3203D86A">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62" w:type="pct"/>
            <w:vAlign w:val="center"/>
          </w:tcPr>
          <w:p w14:paraId="4480F9E7">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r>
      <w:tr w14:paraId="5D5C3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129" w:type="pct"/>
            <w:vMerge w:val="continue"/>
            <w:vAlign w:val="center"/>
          </w:tcPr>
          <w:p w14:paraId="56A3B954">
            <w:pPr>
              <w:bidi w:val="0"/>
              <w:rPr>
                <w:rFonts w:hint="default" w:ascii="Times New Roman" w:hAnsi="Times New Roman" w:cs="Times New Roman"/>
                <w:color w:val="auto"/>
                <w:sz w:val="21"/>
                <w:szCs w:val="21"/>
              </w:rPr>
            </w:pPr>
          </w:p>
        </w:tc>
        <w:tc>
          <w:tcPr>
            <w:tcW w:w="1557" w:type="pct"/>
            <w:vAlign w:val="center"/>
          </w:tcPr>
          <w:p w14:paraId="62FA99A2">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有效应力法</w:t>
            </w:r>
          </w:p>
        </w:tc>
        <w:tc>
          <w:tcPr>
            <w:tcW w:w="463" w:type="pct"/>
            <w:vAlign w:val="center"/>
          </w:tcPr>
          <w:p w14:paraId="18853983">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46A11350">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5BBF1DC5">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c>
          <w:tcPr>
            <w:tcW w:w="463" w:type="pct"/>
            <w:vAlign w:val="center"/>
          </w:tcPr>
          <w:p w14:paraId="5F78FA64">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62" w:type="pct"/>
            <w:vAlign w:val="center"/>
          </w:tcPr>
          <w:p w14:paraId="68778B74">
            <w:pPr>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w:t>
            </w:r>
          </w:p>
        </w:tc>
      </w:tr>
    </w:tbl>
    <w:p w14:paraId="3E99DA9D">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注：（1）荷载类别1系指运行期正常库水位时的稳定渗透压力；</w:t>
      </w:r>
    </w:p>
    <w:p w14:paraId="74A836E1">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（2）荷载类别2系指坝体自重；</w:t>
      </w:r>
    </w:p>
    <w:p w14:paraId="729BBD72">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（3）荷载类别3系指坝体及坝基中的孔隙水压力；</w:t>
      </w:r>
    </w:p>
    <w:p w14:paraId="010DA9B8">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（4）荷载类别4系指设计洪水位有可能形成的稳定渗透压力；</w:t>
      </w:r>
    </w:p>
    <w:p w14:paraId="1D5D41EB">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（5）荷载类别5系指地震荷载。</w:t>
      </w:r>
    </w:p>
    <w:p w14:paraId="3E964A98">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根据《尾矿设施设计规范》</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按瑞典圆弧法计算的四、五等尾矿库坝坡抗滑稳定最小安全系数值见表5.2.2-2。</w:t>
      </w:r>
    </w:p>
    <w:p w14:paraId="46574CD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表5.2.2-2四、五等库坝坡抗滑稳定最小安全系数表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2556"/>
        <w:gridCol w:w="2556"/>
        <w:gridCol w:w="1913"/>
      </w:tblGrid>
      <w:tr w14:paraId="74016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18" w:type="pct"/>
            <w:tcBorders>
              <w:tl2br w:val="single" w:color="auto" w:sz="4" w:space="0"/>
            </w:tcBorders>
            <w:vAlign w:val="center"/>
          </w:tcPr>
          <w:p w14:paraId="7AE954CD">
            <w:pPr>
              <w:bidi w:val="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      运行条件</w:t>
            </w:r>
          </w:p>
          <w:p w14:paraId="3EDCEB3F">
            <w:pPr>
              <w:bidi w:val="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计算方法</w:t>
            </w:r>
          </w:p>
        </w:tc>
        <w:tc>
          <w:tcPr>
            <w:tcW w:w="1376" w:type="pct"/>
            <w:vAlign w:val="center"/>
          </w:tcPr>
          <w:p w14:paraId="61BB066F">
            <w:pPr>
              <w:bidi w:val="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正常运行</w:t>
            </w:r>
          </w:p>
        </w:tc>
        <w:tc>
          <w:tcPr>
            <w:tcW w:w="1376" w:type="pct"/>
            <w:vAlign w:val="center"/>
          </w:tcPr>
          <w:p w14:paraId="30AE8364">
            <w:pPr>
              <w:bidi w:val="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洪水运行</w:t>
            </w:r>
          </w:p>
        </w:tc>
        <w:tc>
          <w:tcPr>
            <w:tcW w:w="1030" w:type="pct"/>
            <w:vAlign w:val="center"/>
          </w:tcPr>
          <w:p w14:paraId="6725BA4C">
            <w:pPr>
              <w:bidi w:val="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特殊运行</w:t>
            </w:r>
          </w:p>
        </w:tc>
      </w:tr>
      <w:tr w14:paraId="34D1B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218" w:type="pct"/>
            <w:vAlign w:val="center"/>
          </w:tcPr>
          <w:p w14:paraId="10223150">
            <w:pPr>
              <w:bidi w:val="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瑞典圆弧法</w:t>
            </w:r>
          </w:p>
        </w:tc>
        <w:tc>
          <w:tcPr>
            <w:tcW w:w="1376" w:type="pct"/>
            <w:vAlign w:val="center"/>
          </w:tcPr>
          <w:p w14:paraId="13D1C15C">
            <w:pPr>
              <w:bidi w:val="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en-US" w:eastAsia="zh-CN"/>
              </w:rPr>
              <w:t>1</w:t>
            </w:r>
            <w:r>
              <w:rPr>
                <w:rFonts w:hint="default" w:ascii="Times New Roman" w:hAnsi="Times New Roman" w:cs="Times New Roman"/>
                <w:color w:val="auto"/>
                <w:sz w:val="21"/>
                <w:szCs w:val="21"/>
                <w:lang w:val="en-US" w:eastAsia="zh-CN"/>
              </w:rPr>
              <w:t>5</w:t>
            </w:r>
          </w:p>
        </w:tc>
        <w:tc>
          <w:tcPr>
            <w:tcW w:w="1376" w:type="pct"/>
            <w:vAlign w:val="center"/>
          </w:tcPr>
          <w:p w14:paraId="44727AF4">
            <w:pPr>
              <w:bidi w:val="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en-US" w:eastAsia="zh-CN"/>
              </w:rPr>
              <w:t>.0</w:t>
            </w:r>
            <w:r>
              <w:rPr>
                <w:rFonts w:hint="default" w:ascii="Times New Roman" w:hAnsi="Times New Roman" w:cs="Times New Roman"/>
                <w:color w:val="auto"/>
                <w:sz w:val="21"/>
                <w:szCs w:val="21"/>
                <w:lang w:val="en-US" w:eastAsia="zh-CN"/>
              </w:rPr>
              <w:t>5</w:t>
            </w:r>
          </w:p>
        </w:tc>
        <w:tc>
          <w:tcPr>
            <w:tcW w:w="1030" w:type="pct"/>
            <w:vAlign w:val="center"/>
          </w:tcPr>
          <w:p w14:paraId="305D2F5A">
            <w:pPr>
              <w:bidi w:val="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en-US" w:eastAsia="zh-CN"/>
              </w:rPr>
              <w:t>0</w:t>
            </w:r>
            <w:r>
              <w:rPr>
                <w:rFonts w:hint="default" w:ascii="Times New Roman" w:hAnsi="Times New Roman" w:cs="Times New Roman"/>
                <w:color w:val="auto"/>
                <w:sz w:val="21"/>
                <w:szCs w:val="21"/>
                <w:lang w:val="en-US" w:eastAsia="zh-CN"/>
              </w:rPr>
              <w:t>0</w:t>
            </w:r>
          </w:p>
        </w:tc>
      </w:tr>
    </w:tbl>
    <w:p w14:paraId="503B6FA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jc w:val="left"/>
        <w:textAlignment w:val="baseline"/>
        <w:outlineLvl w:val="9"/>
        <w:rPr>
          <w:rFonts w:hint="eastAsia" w:ascii="宋体" w:hAnsi="宋体" w:eastAsia="宋体" w:cs="宋体"/>
          <w:snapToGrid w:val="0"/>
          <w:color w:val="auto"/>
          <w:kern w:val="0"/>
          <w:sz w:val="28"/>
          <w:szCs w:val="28"/>
          <w:lang w:val="en-US" w:eastAsia="zh-CN"/>
        </w:rPr>
      </w:pPr>
      <w:bookmarkStart w:id="157" w:name="_Toc23736"/>
      <w:bookmarkStart w:id="158" w:name="_Toc21185"/>
      <w:bookmarkStart w:id="159" w:name="_Toc11038"/>
      <w:bookmarkStart w:id="160" w:name="_Toc22563036"/>
      <w:bookmarkStart w:id="161" w:name="_Toc17445774"/>
      <w:r>
        <w:rPr>
          <w:rFonts w:hint="default" w:ascii="Times New Roman" w:hAnsi="Times New Roman" w:cs="Times New Roman"/>
          <w:b w:val="0"/>
          <w:bCs w:val="0"/>
          <w:snapToGrid w:val="0"/>
          <w:color w:val="auto"/>
          <w:spacing w:val="0"/>
          <w:kern w:val="0"/>
          <w:sz w:val="28"/>
          <w:szCs w:val="28"/>
          <w:lang w:val="en-US" w:eastAsia="zh-CN"/>
        </w:rPr>
        <w:t>3</w:t>
      </w:r>
      <w:r>
        <w:rPr>
          <w:rFonts w:hint="default" w:ascii="Times New Roman" w:hAnsi="Times New Roman" w:eastAsia="宋体" w:cs="Times New Roman"/>
          <w:b w:val="0"/>
          <w:bCs w:val="0"/>
          <w:snapToGrid w:val="0"/>
          <w:color w:val="auto"/>
          <w:spacing w:val="0"/>
          <w:kern w:val="0"/>
          <w:sz w:val="28"/>
          <w:szCs w:val="28"/>
          <w:lang w:val="en-US" w:eastAsia="zh-CN"/>
        </w:rPr>
        <w:t>.</w:t>
      </w:r>
      <w:r>
        <w:rPr>
          <w:rFonts w:hint="eastAsia" w:ascii="宋体" w:hAnsi="宋体" w:eastAsia="宋体" w:cs="宋体"/>
          <w:b w:val="0"/>
          <w:bCs w:val="0"/>
          <w:snapToGrid w:val="0"/>
          <w:color w:val="auto"/>
          <w:spacing w:val="0"/>
          <w:kern w:val="0"/>
          <w:sz w:val="28"/>
          <w:szCs w:val="28"/>
          <w:lang w:val="en-US" w:eastAsia="zh-CN"/>
        </w:rPr>
        <w:t>尾矿</w:t>
      </w:r>
      <w:r>
        <w:rPr>
          <w:rFonts w:hint="eastAsia" w:ascii="宋体" w:hAnsi="宋体" w:eastAsia="宋体" w:cs="宋体"/>
          <w:b w:val="0"/>
          <w:bCs w:val="0"/>
          <w:snapToGrid w:val="0"/>
          <w:color w:val="auto"/>
          <w:kern w:val="0"/>
          <w:sz w:val="28"/>
          <w:szCs w:val="28"/>
          <w:lang w:val="en-US" w:eastAsia="zh-CN"/>
        </w:rPr>
        <w:t>坝坝体稳定性分析计算剖面的确定</w:t>
      </w:r>
      <w:bookmarkEnd w:id="157"/>
      <w:bookmarkEnd w:id="158"/>
    </w:p>
    <w:p w14:paraId="1803E267">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4" w:firstLineChars="200"/>
        <w:jc w:val="left"/>
        <w:textAlignment w:val="baseline"/>
        <w:rPr>
          <w:rFonts w:ascii="宋体" w:hAnsi="宋体" w:eastAsia="宋体" w:cs="宋体"/>
          <w:snapToGrid w:val="0"/>
          <w:color w:val="auto"/>
          <w:spacing w:val="-1"/>
          <w:kern w:val="0"/>
          <w:sz w:val="28"/>
          <w:szCs w:val="28"/>
        </w:rPr>
      </w:pPr>
      <w:r>
        <w:rPr>
          <w:rFonts w:ascii="宋体" w:hAnsi="宋体" w:eastAsia="宋体" w:cs="宋体"/>
          <w:snapToGrid w:val="0"/>
          <w:color w:val="auto"/>
          <w:spacing w:val="1"/>
          <w:kern w:val="0"/>
          <w:sz w:val="28"/>
          <w:szCs w:val="28"/>
        </w:rPr>
        <w:t>对</w:t>
      </w:r>
      <w:r>
        <w:rPr>
          <w:rFonts w:ascii="宋体" w:hAnsi="宋体" w:eastAsia="宋体" w:cs="宋体"/>
          <w:snapToGrid w:val="0"/>
          <w:color w:val="auto"/>
          <w:kern w:val="0"/>
          <w:sz w:val="28"/>
          <w:szCs w:val="28"/>
        </w:rPr>
        <w:t>于尾矿坝稳定计算剖面，采用尾矿坝最大坝高处横剖面作为抗滑</w:t>
      </w:r>
      <w:r>
        <w:rPr>
          <w:rFonts w:ascii="宋体" w:hAnsi="宋体" w:eastAsia="宋体" w:cs="宋体"/>
          <w:snapToGrid w:val="0"/>
          <w:color w:val="auto"/>
          <w:spacing w:val="-2"/>
          <w:kern w:val="0"/>
          <w:sz w:val="28"/>
          <w:szCs w:val="28"/>
        </w:rPr>
        <w:t>稳定计算剖</w:t>
      </w:r>
      <w:r>
        <w:rPr>
          <w:rFonts w:ascii="宋体" w:hAnsi="宋体" w:eastAsia="宋体" w:cs="宋体"/>
          <w:snapToGrid w:val="0"/>
          <w:color w:val="auto"/>
          <w:spacing w:val="-1"/>
          <w:kern w:val="0"/>
          <w:sz w:val="28"/>
          <w:szCs w:val="28"/>
        </w:rPr>
        <w:t>面。</w:t>
      </w:r>
    </w:p>
    <w:p w14:paraId="7E417697">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60" w:firstLineChars="200"/>
        <w:jc w:val="left"/>
        <w:textAlignment w:val="baseline"/>
        <w:outlineLvl w:val="9"/>
        <w:rPr>
          <w:rFonts w:ascii="宋体" w:hAnsi="宋体" w:eastAsia="宋体" w:cs="宋体"/>
          <w:snapToGrid w:val="0"/>
          <w:color w:val="auto"/>
          <w:spacing w:val="-1"/>
          <w:kern w:val="0"/>
          <w:sz w:val="28"/>
          <w:szCs w:val="28"/>
        </w:rPr>
      </w:pPr>
      <w:bookmarkStart w:id="162" w:name="_Toc15598"/>
      <w:bookmarkStart w:id="163" w:name="_Toc3774"/>
      <w:r>
        <w:rPr>
          <w:rFonts w:hint="eastAsia" w:ascii="宋体" w:hAnsi="宋体" w:cs="宋体"/>
          <w:b w:val="0"/>
          <w:bCs w:val="0"/>
          <w:snapToGrid w:val="0"/>
          <w:color w:val="auto"/>
          <w:spacing w:val="0"/>
          <w:kern w:val="0"/>
          <w:sz w:val="28"/>
          <w:szCs w:val="28"/>
          <w:lang w:val="en-US" w:eastAsia="zh-CN"/>
        </w:rPr>
        <w:t>4</w:t>
      </w:r>
      <w:r>
        <w:rPr>
          <w:rFonts w:hint="eastAsia" w:ascii="宋体" w:hAnsi="宋体" w:eastAsia="宋体" w:cs="宋体"/>
          <w:b w:val="0"/>
          <w:bCs w:val="0"/>
          <w:snapToGrid w:val="0"/>
          <w:color w:val="auto"/>
          <w:spacing w:val="0"/>
          <w:kern w:val="0"/>
          <w:sz w:val="28"/>
          <w:szCs w:val="28"/>
          <w:lang w:val="en-US" w:eastAsia="zh-CN"/>
        </w:rPr>
        <w:t>.尾矿坝及坝基及物</w:t>
      </w:r>
      <w:r>
        <w:rPr>
          <w:rFonts w:hint="eastAsia" w:ascii="宋体" w:hAnsi="宋体" w:eastAsia="宋体" w:cs="宋体"/>
          <w:b w:val="0"/>
          <w:bCs w:val="0"/>
          <w:snapToGrid w:val="0"/>
          <w:color w:val="auto"/>
          <w:kern w:val="0"/>
          <w:sz w:val="28"/>
          <w:szCs w:val="28"/>
          <w:lang w:val="en-US" w:eastAsia="zh-CN"/>
        </w:rPr>
        <w:t>理力学计算指标</w:t>
      </w:r>
      <w:bookmarkEnd w:id="162"/>
      <w:bookmarkEnd w:id="163"/>
    </w:p>
    <w:p w14:paraId="203B0EB8">
      <w:pPr>
        <w:bidi w:val="0"/>
        <w:rPr>
          <w:rFonts w:hint="default" w:ascii="Times New Roman" w:hAnsi="Times New Roman" w:cs="Times New Roman"/>
          <w:lang w:eastAsia="zh-CN"/>
        </w:rPr>
      </w:pPr>
      <w:r>
        <w:rPr>
          <w:rFonts w:hint="default" w:ascii="Times New Roman" w:hAnsi="Times New Roman" w:cs="Times New Roman"/>
        </w:rPr>
        <w:t>本次稳定性分析采用的土层参数指标是基于《江西临川鲁金矿业有限公司茅排金矿庄前尾矿库工程 (水文) 地质勘察报告》</w:t>
      </w:r>
      <w:r>
        <w:rPr>
          <w:rFonts w:hint="eastAsia" w:ascii="Times New Roman" w:hAnsi="Times New Roman" w:cs="Times New Roman"/>
          <w:lang w:eastAsia="zh-CN"/>
        </w:rPr>
        <w:t>（</w:t>
      </w:r>
      <w:r>
        <w:rPr>
          <w:rFonts w:hint="default" w:ascii="Times New Roman" w:hAnsi="Times New Roman" w:cs="Times New Roman"/>
        </w:rPr>
        <w:t>江西省物化探地质工程勘察院，2012年11月</w:t>
      </w:r>
      <w:r>
        <w:rPr>
          <w:rFonts w:hint="eastAsia" w:ascii="Times New Roman" w:hAnsi="Times New Roman" w:cs="Times New Roman"/>
          <w:lang w:eastAsia="zh-CN"/>
        </w:rPr>
        <w:t>）</w:t>
      </w:r>
      <w:r>
        <w:rPr>
          <w:rFonts w:hint="default" w:ascii="Times New Roman" w:hAnsi="Times New Roman" w:cs="Times New Roman"/>
        </w:rPr>
        <w:t>提供的</w:t>
      </w:r>
      <w:r>
        <w:rPr>
          <w:rFonts w:hint="default" w:ascii="Times New Roman" w:hAnsi="Times New Roman" w:cs="Times New Roman"/>
          <w:lang w:eastAsia="zh-CN"/>
        </w:rPr>
        <w:t>，</w:t>
      </w:r>
      <w:r>
        <w:rPr>
          <w:rFonts w:hint="default" w:ascii="Times New Roman" w:hAnsi="Times New Roman" w:cs="Times New Roman"/>
        </w:rPr>
        <w:t>设计者根据勘察报告以及参考类似尾矿坝的相关土层物理力学指标来选取本次稳定计算的相关指标，详见表5</w:t>
      </w:r>
      <w:r>
        <w:rPr>
          <w:rFonts w:hint="default" w:ascii="Times New Roman" w:hAnsi="Times New Roman" w:cs="Times New Roman"/>
          <w:lang w:val="en-US" w:eastAsia="zh-CN"/>
        </w:rPr>
        <w:t>.2</w:t>
      </w:r>
      <w:r>
        <w:rPr>
          <w:rFonts w:hint="eastAsia" w:ascii="Times New Roman" w:hAnsi="Times New Roman" w:cs="Times New Roman"/>
          <w:lang w:val="en-US" w:eastAsia="zh-CN"/>
        </w:rPr>
        <w:t>.2</w:t>
      </w:r>
      <w:r>
        <w:rPr>
          <w:rFonts w:hint="default" w:ascii="Times New Roman" w:hAnsi="Times New Roman" w:cs="Times New Roman"/>
          <w:lang w:val="en-US" w:eastAsia="zh-CN"/>
        </w:rPr>
        <w:t>-3。</w:t>
      </w:r>
    </w:p>
    <w:p w14:paraId="163FB64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snapToGrid w:val="0"/>
          <w:color w:val="auto"/>
          <w:kern w:val="0"/>
          <w:szCs w:val="24"/>
        </w:rPr>
      </w:pPr>
      <w:r>
        <w:rPr>
          <w:rFonts w:hint="eastAsia"/>
        </w:rPr>
        <w:t>表 5</w:t>
      </w:r>
      <w:r>
        <w:rPr>
          <w:rFonts w:hint="eastAsia"/>
          <w:lang w:val="en-US" w:eastAsia="zh-CN"/>
        </w:rPr>
        <w:t xml:space="preserve">.2.2-3  </w:t>
      </w:r>
      <w:r>
        <w:rPr>
          <w:rFonts w:hint="eastAsia"/>
        </w:rPr>
        <w:t>尾矿坝稳定计算各土层物理力学指标选取值</w:t>
      </w:r>
    </w:p>
    <w:p w14:paraId="3B5C56F8">
      <w:pPr>
        <w:widowControl/>
        <w:kinsoku w:val="0"/>
        <w:autoSpaceDE w:val="0"/>
        <w:autoSpaceDN w:val="0"/>
        <w:spacing w:line="33" w:lineRule="exact"/>
        <w:ind w:firstLine="0" w:firstLineChars="0"/>
        <w:jc w:val="left"/>
        <w:textAlignment w:val="baseline"/>
        <w:rPr>
          <w:rFonts w:ascii="Arial" w:hAnsi="Arial" w:eastAsia="Arial" w:cs="Arial"/>
          <w:snapToGrid w:val="0"/>
          <w:color w:val="auto"/>
          <w:kern w:val="0"/>
          <w:sz w:val="21"/>
          <w:szCs w:val="21"/>
        </w:rPr>
      </w:pPr>
    </w:p>
    <w:tbl>
      <w:tblPr>
        <w:tblStyle w:val="27"/>
        <w:tblW w:w="945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6"/>
        <w:gridCol w:w="2020"/>
        <w:gridCol w:w="1396"/>
        <w:gridCol w:w="1394"/>
        <w:gridCol w:w="1236"/>
        <w:gridCol w:w="1241"/>
        <w:gridCol w:w="1241"/>
      </w:tblGrid>
      <w:tr w14:paraId="1548CB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jc w:val="center"/>
        </w:trPr>
        <w:tc>
          <w:tcPr>
            <w:tcW w:w="926" w:type="dxa"/>
            <w:vAlign w:val="top"/>
          </w:tcPr>
          <w:p w14:paraId="5BBB0184">
            <w:pPr>
              <w:keepNext w:val="0"/>
              <w:keepLines w:val="0"/>
              <w:pageBreakBefore w:val="0"/>
              <w:widowControl/>
              <w:kinsoku w:val="0"/>
              <w:wordWrap/>
              <w:overflowPunct/>
              <w:topLinePunct w:val="0"/>
              <w:autoSpaceDE w:val="0"/>
              <w:autoSpaceDN w:val="0"/>
              <w:bidi w:val="0"/>
              <w:adjustRightInd w:val="0"/>
              <w:snapToGrid w:val="0"/>
              <w:spacing w:before="271" w:line="225" w:lineRule="auto"/>
              <w:ind w:firstLine="0" w:firstLineChars="0"/>
              <w:jc w:val="left"/>
              <w:textAlignment w:val="baseline"/>
              <w:rPr>
                <w:rFonts w:hint="eastAsia" w:ascii="宋体" w:hAnsi="宋体" w:eastAsia="宋体" w:cs="宋体"/>
                <w:snapToGrid w:val="0"/>
                <w:color w:val="auto"/>
                <w:spacing w:val="1"/>
                <w:kern w:val="0"/>
                <w:sz w:val="18"/>
                <w:szCs w:val="18"/>
                <w:lang w:val="en-US" w:eastAsia="zh-CN"/>
              </w:rPr>
            </w:pPr>
            <w:r>
              <w:rPr>
                <w:rFonts w:hint="eastAsia" w:ascii="宋体" w:hAnsi="宋体" w:eastAsia="宋体" w:cs="宋体"/>
                <w:snapToGrid w:val="0"/>
                <w:color w:val="auto"/>
                <w:spacing w:val="1"/>
                <w:kern w:val="0"/>
                <w:sz w:val="18"/>
                <w:szCs w:val="18"/>
                <w:lang w:val="en-US" w:eastAsia="zh-CN"/>
              </w:rPr>
              <w:t>岩土层编号</w:t>
            </w:r>
          </w:p>
        </w:tc>
        <w:tc>
          <w:tcPr>
            <w:tcW w:w="2020" w:type="dxa"/>
            <w:vAlign w:val="top"/>
          </w:tcPr>
          <w:p w14:paraId="23053101">
            <w:pPr>
              <w:keepNext w:val="0"/>
              <w:keepLines w:val="0"/>
              <w:pageBreakBefore w:val="0"/>
              <w:widowControl/>
              <w:kinsoku w:val="0"/>
              <w:wordWrap/>
              <w:overflowPunct/>
              <w:topLinePunct w:val="0"/>
              <w:autoSpaceDE w:val="0"/>
              <w:autoSpaceDN w:val="0"/>
              <w:bidi w:val="0"/>
              <w:adjustRightInd w:val="0"/>
              <w:snapToGrid w:val="0"/>
              <w:spacing w:before="270" w:line="228" w:lineRule="auto"/>
              <w:ind w:left="382" w:leftChars="0" w:firstLine="0" w:firstLineChars="0"/>
              <w:jc w:val="left"/>
              <w:textAlignment w:val="baseline"/>
              <w:rPr>
                <w:rFonts w:hint="eastAsia" w:ascii="宋体" w:hAnsi="宋体" w:eastAsia="宋体" w:cs="宋体"/>
                <w:snapToGrid w:val="0"/>
                <w:color w:val="auto"/>
                <w:spacing w:val="10"/>
                <w:kern w:val="0"/>
                <w:sz w:val="18"/>
                <w:szCs w:val="18"/>
                <w:lang w:val="en-US" w:eastAsia="zh-CN"/>
              </w:rPr>
            </w:pPr>
            <w:r>
              <w:rPr>
                <w:rFonts w:hint="eastAsia" w:ascii="宋体" w:hAnsi="宋体" w:eastAsia="宋体" w:cs="宋体"/>
                <w:snapToGrid w:val="0"/>
                <w:color w:val="auto"/>
                <w:spacing w:val="10"/>
                <w:kern w:val="0"/>
                <w:sz w:val="18"/>
                <w:szCs w:val="18"/>
                <w:lang w:val="en-US" w:eastAsia="zh-CN"/>
              </w:rPr>
              <w:t>岩土层名称</w:t>
            </w:r>
          </w:p>
        </w:tc>
        <w:tc>
          <w:tcPr>
            <w:tcW w:w="1396" w:type="dxa"/>
            <w:vAlign w:val="top"/>
          </w:tcPr>
          <w:p w14:paraId="41E208A3">
            <w:pPr>
              <w:keepNext w:val="0"/>
              <w:keepLines w:val="0"/>
              <w:pageBreakBefore w:val="0"/>
              <w:widowControl/>
              <w:kinsoku w:val="0"/>
              <w:wordWrap/>
              <w:overflowPunct/>
              <w:topLinePunct w:val="0"/>
              <w:autoSpaceDE w:val="0"/>
              <w:autoSpaceDN w:val="0"/>
              <w:bidi w:val="0"/>
              <w:adjustRightInd w:val="0"/>
              <w:snapToGrid w:val="0"/>
              <w:spacing w:before="57" w:line="198" w:lineRule="auto"/>
              <w:ind w:firstLine="0" w:firstLineChars="0"/>
              <w:jc w:val="center"/>
              <w:textAlignment w:val="baseline"/>
              <w:rPr>
                <w:rFonts w:hint="eastAsia" w:ascii="宋体" w:hAnsi="宋体" w:eastAsia="宋体" w:cs="宋体"/>
                <w:snapToGrid w:val="0"/>
                <w:color w:val="auto"/>
                <w:spacing w:val="-2"/>
                <w:kern w:val="0"/>
                <w:sz w:val="18"/>
                <w:szCs w:val="18"/>
                <w:lang w:val="en-US" w:eastAsia="zh-CN"/>
              </w:rPr>
            </w:pPr>
            <w:r>
              <w:rPr>
                <w:rFonts w:hint="eastAsia" w:ascii="宋体" w:hAnsi="宋体" w:eastAsia="宋体" w:cs="宋体"/>
                <w:snapToGrid w:val="0"/>
                <w:color w:val="auto"/>
                <w:spacing w:val="-2"/>
                <w:kern w:val="0"/>
                <w:sz w:val="18"/>
                <w:szCs w:val="18"/>
                <w:lang w:val="en-US" w:eastAsia="zh-CN"/>
              </w:rPr>
              <w:t>天然容重</w:t>
            </w:r>
          </w:p>
          <w:p w14:paraId="1BC165EB">
            <w:pPr>
              <w:keepNext w:val="0"/>
              <w:keepLines w:val="0"/>
              <w:pageBreakBefore w:val="0"/>
              <w:widowControl/>
              <w:kinsoku w:val="0"/>
              <w:wordWrap/>
              <w:overflowPunct/>
              <w:topLinePunct w:val="0"/>
              <w:autoSpaceDE w:val="0"/>
              <w:autoSpaceDN w:val="0"/>
              <w:bidi w:val="0"/>
              <w:adjustRightInd w:val="0"/>
              <w:snapToGrid w:val="0"/>
              <w:spacing w:before="57" w:line="198" w:lineRule="auto"/>
              <w:ind w:firstLine="0" w:firstLineChars="0"/>
              <w:jc w:val="center"/>
              <w:textAlignment w:val="baseline"/>
              <w:rPr>
                <w:rFonts w:hint="eastAsia" w:ascii="宋体" w:hAnsi="宋体" w:eastAsia="宋体" w:cs="宋体"/>
                <w:snapToGrid w:val="0"/>
                <w:color w:val="auto"/>
                <w:spacing w:val="-2"/>
                <w:kern w:val="0"/>
                <w:sz w:val="18"/>
                <w:szCs w:val="18"/>
                <w:lang w:val="en-US" w:eastAsia="zh-CN"/>
              </w:rPr>
            </w:pPr>
            <w:r>
              <w:rPr>
                <w:rFonts w:hint="eastAsia" w:ascii="宋体" w:hAnsi="宋体" w:eastAsia="宋体" w:cs="宋体"/>
                <w:snapToGrid w:val="0"/>
                <w:color w:val="auto"/>
                <w:kern w:val="0"/>
                <w:sz w:val="18"/>
                <w:szCs w:val="18"/>
              </w:rPr>
              <w:t>KN</w:t>
            </w:r>
            <w:r>
              <w:rPr>
                <w:rFonts w:hint="eastAsia" w:ascii="宋体" w:hAnsi="宋体" w:eastAsia="宋体" w:cs="宋体"/>
                <w:snapToGrid w:val="0"/>
                <w:color w:val="auto"/>
                <w:spacing w:val="13"/>
                <w:kern w:val="0"/>
                <w:sz w:val="18"/>
                <w:szCs w:val="18"/>
              </w:rPr>
              <w:t>/</w:t>
            </w:r>
            <w:r>
              <w:rPr>
                <w:rFonts w:hint="eastAsia" w:ascii="宋体" w:hAnsi="宋体" w:eastAsia="宋体" w:cs="宋体"/>
                <w:snapToGrid w:val="0"/>
                <w:color w:val="auto"/>
                <w:kern w:val="0"/>
                <w:sz w:val="18"/>
                <w:szCs w:val="18"/>
              </w:rPr>
              <w:t>m</w:t>
            </w:r>
            <w:r>
              <w:rPr>
                <w:rFonts w:hint="eastAsia" w:ascii="宋体" w:hAnsi="宋体" w:eastAsia="宋体" w:cs="宋体"/>
                <w:snapToGrid w:val="0"/>
                <w:color w:val="auto"/>
                <w:spacing w:val="12"/>
                <w:kern w:val="0"/>
                <w:position w:val="6"/>
                <w:sz w:val="18"/>
                <w:szCs w:val="18"/>
              </w:rPr>
              <w:t>3</w:t>
            </w:r>
          </w:p>
        </w:tc>
        <w:tc>
          <w:tcPr>
            <w:tcW w:w="1394" w:type="dxa"/>
            <w:vAlign w:val="top"/>
          </w:tcPr>
          <w:p w14:paraId="6E571911">
            <w:pPr>
              <w:keepNext w:val="0"/>
              <w:keepLines w:val="0"/>
              <w:pageBreakBefore w:val="0"/>
              <w:widowControl/>
              <w:kinsoku w:val="0"/>
              <w:wordWrap/>
              <w:overflowPunct/>
              <w:topLinePunct w:val="0"/>
              <w:autoSpaceDE w:val="0"/>
              <w:autoSpaceDN w:val="0"/>
              <w:bidi w:val="0"/>
              <w:adjustRightInd w:val="0"/>
              <w:snapToGrid w:val="0"/>
              <w:spacing w:before="57" w:line="198" w:lineRule="auto"/>
              <w:ind w:firstLine="0" w:firstLineChars="0"/>
              <w:jc w:val="center"/>
              <w:textAlignment w:val="baseline"/>
              <w:rPr>
                <w:rFonts w:hint="eastAsia" w:ascii="宋体" w:hAnsi="宋体" w:eastAsia="宋体" w:cs="宋体"/>
                <w:snapToGrid w:val="0"/>
                <w:color w:val="auto"/>
                <w:spacing w:val="-3"/>
                <w:kern w:val="0"/>
                <w:sz w:val="18"/>
                <w:szCs w:val="18"/>
                <w:lang w:val="en-US" w:eastAsia="zh-CN"/>
              </w:rPr>
            </w:pPr>
            <w:r>
              <w:rPr>
                <w:rFonts w:hint="eastAsia" w:ascii="宋体" w:hAnsi="宋体" w:eastAsia="宋体" w:cs="宋体"/>
                <w:snapToGrid w:val="0"/>
                <w:color w:val="auto"/>
                <w:spacing w:val="-3"/>
                <w:kern w:val="0"/>
                <w:sz w:val="18"/>
                <w:szCs w:val="18"/>
                <w:lang w:val="en-US" w:eastAsia="zh-CN"/>
              </w:rPr>
              <w:t>饱和容重</w:t>
            </w:r>
          </w:p>
          <w:p w14:paraId="74E5D5DA">
            <w:pPr>
              <w:keepNext w:val="0"/>
              <w:keepLines w:val="0"/>
              <w:pageBreakBefore w:val="0"/>
              <w:widowControl/>
              <w:kinsoku w:val="0"/>
              <w:wordWrap/>
              <w:overflowPunct/>
              <w:topLinePunct w:val="0"/>
              <w:autoSpaceDE w:val="0"/>
              <w:autoSpaceDN w:val="0"/>
              <w:bidi w:val="0"/>
              <w:adjustRightInd w:val="0"/>
              <w:snapToGrid w:val="0"/>
              <w:spacing w:before="57" w:line="198" w:lineRule="auto"/>
              <w:ind w:firstLine="0" w:firstLineChars="0"/>
              <w:jc w:val="center"/>
              <w:textAlignment w:val="baseline"/>
              <w:rPr>
                <w:rFonts w:hint="eastAsia" w:ascii="宋体" w:hAnsi="宋体" w:eastAsia="宋体" w:cs="宋体"/>
                <w:snapToGrid w:val="0"/>
                <w:color w:val="auto"/>
                <w:spacing w:val="-3"/>
                <w:kern w:val="0"/>
                <w:sz w:val="18"/>
                <w:szCs w:val="18"/>
                <w:lang w:val="en-US" w:eastAsia="zh-CN"/>
              </w:rPr>
            </w:pPr>
            <w:r>
              <w:rPr>
                <w:rFonts w:hint="eastAsia" w:ascii="宋体" w:hAnsi="宋体" w:eastAsia="宋体" w:cs="宋体"/>
                <w:snapToGrid w:val="0"/>
                <w:color w:val="auto"/>
                <w:kern w:val="0"/>
                <w:sz w:val="18"/>
                <w:szCs w:val="18"/>
              </w:rPr>
              <w:t>KN</w:t>
            </w:r>
            <w:r>
              <w:rPr>
                <w:rFonts w:hint="eastAsia" w:ascii="宋体" w:hAnsi="宋体" w:eastAsia="宋体" w:cs="宋体"/>
                <w:snapToGrid w:val="0"/>
                <w:color w:val="auto"/>
                <w:spacing w:val="13"/>
                <w:kern w:val="0"/>
                <w:sz w:val="18"/>
                <w:szCs w:val="18"/>
              </w:rPr>
              <w:t>/</w:t>
            </w:r>
            <w:r>
              <w:rPr>
                <w:rFonts w:hint="eastAsia" w:ascii="宋体" w:hAnsi="宋体" w:eastAsia="宋体" w:cs="宋体"/>
                <w:snapToGrid w:val="0"/>
                <w:color w:val="auto"/>
                <w:kern w:val="0"/>
                <w:sz w:val="18"/>
                <w:szCs w:val="18"/>
              </w:rPr>
              <w:t>m</w:t>
            </w:r>
            <w:r>
              <w:rPr>
                <w:rFonts w:hint="eastAsia" w:ascii="宋体" w:hAnsi="宋体" w:eastAsia="宋体" w:cs="宋体"/>
                <w:snapToGrid w:val="0"/>
                <w:color w:val="auto"/>
                <w:spacing w:val="12"/>
                <w:kern w:val="0"/>
                <w:position w:val="6"/>
                <w:sz w:val="18"/>
                <w:szCs w:val="18"/>
              </w:rPr>
              <w:t>3</w:t>
            </w:r>
          </w:p>
        </w:tc>
        <w:tc>
          <w:tcPr>
            <w:tcW w:w="1236" w:type="dxa"/>
            <w:vAlign w:val="top"/>
          </w:tcPr>
          <w:p w14:paraId="30BF67CC">
            <w:pPr>
              <w:keepNext w:val="0"/>
              <w:keepLines w:val="0"/>
              <w:pageBreakBefore w:val="0"/>
              <w:widowControl/>
              <w:kinsoku w:val="0"/>
              <w:wordWrap/>
              <w:overflowPunct/>
              <w:topLinePunct w:val="0"/>
              <w:autoSpaceDE w:val="0"/>
              <w:autoSpaceDN w:val="0"/>
              <w:bidi w:val="0"/>
              <w:adjustRightInd w:val="0"/>
              <w:snapToGrid w:val="0"/>
              <w:spacing w:before="58" w:line="195" w:lineRule="auto"/>
              <w:ind w:firstLine="0" w:firstLineChars="0"/>
              <w:jc w:val="center"/>
              <w:textAlignment w:val="baseline"/>
              <w:rPr>
                <w:rFonts w:hint="eastAsia" w:ascii="宋体" w:hAnsi="宋体" w:eastAsia="宋体" w:cs="宋体"/>
                <w:snapToGrid w:val="0"/>
                <w:color w:val="auto"/>
                <w:spacing w:val="-1"/>
                <w:kern w:val="0"/>
                <w:sz w:val="18"/>
                <w:szCs w:val="18"/>
                <w:lang w:val="en-US" w:eastAsia="zh-CN"/>
              </w:rPr>
            </w:pPr>
            <w:r>
              <w:rPr>
                <w:rFonts w:hint="eastAsia" w:ascii="宋体" w:hAnsi="宋体" w:eastAsia="宋体" w:cs="宋体"/>
                <w:snapToGrid w:val="0"/>
                <w:color w:val="auto"/>
                <w:spacing w:val="-1"/>
                <w:kern w:val="0"/>
                <w:sz w:val="18"/>
                <w:szCs w:val="18"/>
                <w:lang w:val="en-US" w:eastAsia="zh-CN"/>
              </w:rPr>
              <w:t>凝聚力</w:t>
            </w:r>
          </w:p>
          <w:p w14:paraId="3297FF4D">
            <w:pPr>
              <w:keepNext w:val="0"/>
              <w:keepLines w:val="0"/>
              <w:pageBreakBefore w:val="0"/>
              <w:widowControl/>
              <w:kinsoku w:val="0"/>
              <w:wordWrap/>
              <w:overflowPunct/>
              <w:topLinePunct w:val="0"/>
              <w:autoSpaceDE w:val="0"/>
              <w:autoSpaceDN w:val="0"/>
              <w:bidi w:val="0"/>
              <w:adjustRightInd w:val="0"/>
              <w:snapToGrid w:val="0"/>
              <w:spacing w:before="58" w:line="195" w:lineRule="auto"/>
              <w:ind w:firstLine="0" w:firstLineChars="0"/>
              <w:jc w:val="center"/>
              <w:textAlignment w:val="baseline"/>
              <w:rPr>
                <w:rFonts w:hint="eastAsia" w:ascii="宋体" w:hAnsi="宋体" w:eastAsia="宋体" w:cs="宋体"/>
                <w:snapToGrid w:val="0"/>
                <w:color w:val="auto"/>
                <w:spacing w:val="-1"/>
                <w:kern w:val="0"/>
                <w:sz w:val="18"/>
                <w:szCs w:val="18"/>
                <w:lang w:val="en-US" w:eastAsia="zh-CN"/>
              </w:rPr>
            </w:pPr>
            <w:r>
              <w:rPr>
                <w:rFonts w:hint="eastAsia" w:ascii="宋体" w:hAnsi="宋体" w:eastAsia="宋体" w:cs="宋体"/>
                <w:snapToGrid w:val="0"/>
                <w:color w:val="auto"/>
                <w:spacing w:val="-1"/>
                <w:kern w:val="0"/>
                <w:sz w:val="18"/>
                <w:szCs w:val="18"/>
                <w:lang w:val="en-US" w:eastAsia="zh-CN"/>
              </w:rPr>
              <w:t>C（KPa）</w:t>
            </w:r>
          </w:p>
        </w:tc>
        <w:tc>
          <w:tcPr>
            <w:tcW w:w="1241" w:type="dxa"/>
            <w:vAlign w:val="top"/>
          </w:tcPr>
          <w:p w14:paraId="331AF634">
            <w:pPr>
              <w:keepNext w:val="0"/>
              <w:keepLines w:val="0"/>
              <w:pageBreakBefore w:val="0"/>
              <w:widowControl/>
              <w:kinsoku w:val="0"/>
              <w:wordWrap/>
              <w:overflowPunct/>
              <w:topLinePunct w:val="0"/>
              <w:autoSpaceDE w:val="0"/>
              <w:autoSpaceDN w:val="0"/>
              <w:bidi w:val="0"/>
              <w:adjustRightInd w:val="0"/>
              <w:snapToGrid w:val="0"/>
              <w:spacing w:before="58" w:line="195" w:lineRule="auto"/>
              <w:ind w:firstLine="0" w:firstLineChars="0"/>
              <w:jc w:val="center"/>
              <w:textAlignment w:val="baseline"/>
              <w:rPr>
                <w:rFonts w:hint="eastAsia" w:ascii="宋体" w:hAnsi="宋体" w:eastAsia="宋体" w:cs="宋体"/>
                <w:snapToGrid w:val="0"/>
                <w:color w:val="auto"/>
                <w:spacing w:val="-1"/>
                <w:kern w:val="0"/>
                <w:sz w:val="18"/>
                <w:szCs w:val="18"/>
                <w:lang w:val="en-US" w:eastAsia="zh-CN"/>
              </w:rPr>
            </w:pPr>
            <w:r>
              <w:rPr>
                <w:rFonts w:hint="eastAsia" w:ascii="宋体" w:hAnsi="宋体" w:eastAsia="宋体" w:cs="宋体"/>
                <w:snapToGrid w:val="0"/>
                <w:color w:val="auto"/>
                <w:spacing w:val="-1"/>
                <w:kern w:val="0"/>
                <w:sz w:val="18"/>
                <w:szCs w:val="18"/>
                <w:lang w:val="en-US" w:eastAsia="zh-CN"/>
              </w:rPr>
              <w:t>内摩擦角</w:t>
            </w:r>
          </w:p>
          <w:p w14:paraId="026A9158">
            <w:pPr>
              <w:keepNext w:val="0"/>
              <w:keepLines w:val="0"/>
              <w:pageBreakBefore w:val="0"/>
              <w:widowControl/>
              <w:kinsoku w:val="0"/>
              <w:wordWrap/>
              <w:overflowPunct/>
              <w:topLinePunct w:val="0"/>
              <w:autoSpaceDE w:val="0"/>
              <w:autoSpaceDN w:val="0"/>
              <w:bidi w:val="0"/>
              <w:adjustRightInd w:val="0"/>
              <w:snapToGrid w:val="0"/>
              <w:spacing w:before="58" w:line="195" w:lineRule="auto"/>
              <w:ind w:firstLine="0" w:firstLineChars="0"/>
              <w:jc w:val="center"/>
              <w:textAlignment w:val="baseline"/>
              <w:rPr>
                <w:rFonts w:hint="eastAsia" w:ascii="宋体" w:hAnsi="宋体" w:eastAsia="宋体" w:cs="宋体"/>
                <w:snapToGrid w:val="0"/>
                <w:color w:val="auto"/>
                <w:spacing w:val="-1"/>
                <w:kern w:val="0"/>
                <w:sz w:val="18"/>
                <w:szCs w:val="18"/>
                <w:lang w:val="en-US" w:eastAsia="zh-CN"/>
              </w:rPr>
            </w:pPr>
            <w:r>
              <w:rPr>
                <w:rFonts w:hint="eastAsia" w:ascii="宋体" w:hAnsi="宋体" w:eastAsia="宋体" w:cs="宋体"/>
                <w:snapToGrid w:val="0"/>
                <w:color w:val="auto"/>
                <w:spacing w:val="-1"/>
                <w:kern w:val="0"/>
                <w:sz w:val="18"/>
                <w:szCs w:val="18"/>
                <w:lang w:val="en-US" w:eastAsia="zh-CN"/>
              </w:rPr>
              <w:t>C(°)</w:t>
            </w:r>
          </w:p>
        </w:tc>
        <w:tc>
          <w:tcPr>
            <w:tcW w:w="1241" w:type="dxa"/>
            <w:vAlign w:val="center"/>
          </w:tcPr>
          <w:p w14:paraId="2315BEAC">
            <w:pPr>
              <w:keepNext w:val="0"/>
              <w:keepLines w:val="0"/>
              <w:pageBreakBefore w:val="0"/>
              <w:widowControl/>
              <w:kinsoku w:val="0"/>
              <w:wordWrap/>
              <w:overflowPunct/>
              <w:topLinePunct w:val="0"/>
              <w:autoSpaceDE w:val="0"/>
              <w:autoSpaceDN w:val="0"/>
              <w:bidi w:val="0"/>
              <w:adjustRightInd w:val="0"/>
              <w:snapToGrid w:val="0"/>
              <w:spacing w:before="35" w:line="185" w:lineRule="auto"/>
              <w:ind w:right="135" w:rightChars="0" w:firstLine="0" w:firstLineChars="0"/>
              <w:jc w:val="center"/>
              <w:textAlignment w:val="baseline"/>
              <w:rPr>
                <w:rFonts w:hint="eastAsia" w:ascii="宋体" w:hAnsi="宋体" w:eastAsia="宋体" w:cs="宋体"/>
                <w:snapToGrid w:val="0"/>
                <w:color w:val="auto"/>
                <w:kern w:val="0"/>
                <w:sz w:val="18"/>
                <w:szCs w:val="18"/>
                <w:lang w:val="en-US" w:eastAsia="zh-CN" w:bidi="ar"/>
              </w:rPr>
            </w:pPr>
            <w:r>
              <w:rPr>
                <w:rFonts w:hint="eastAsia" w:ascii="宋体" w:hAnsi="宋体" w:eastAsia="宋体" w:cs="宋体"/>
                <w:snapToGrid w:val="0"/>
                <w:color w:val="auto"/>
                <w:spacing w:val="10"/>
                <w:kern w:val="0"/>
                <w:sz w:val="18"/>
                <w:szCs w:val="18"/>
                <w:lang w:val="en-US" w:eastAsia="zh-CN"/>
              </w:rPr>
              <w:t>渗</w:t>
            </w:r>
            <w:r>
              <w:rPr>
                <w:rFonts w:hint="eastAsia" w:ascii="宋体" w:hAnsi="宋体" w:eastAsia="宋体" w:cs="宋体"/>
                <w:snapToGrid w:val="0"/>
                <w:color w:val="auto"/>
                <w:kern w:val="0"/>
                <w:sz w:val="18"/>
                <w:szCs w:val="18"/>
                <w:lang w:val="en-US" w:eastAsia="zh-CN" w:bidi="ar"/>
              </w:rPr>
              <w:t>透系数</w:t>
            </w:r>
          </w:p>
          <w:p w14:paraId="20CCBB21">
            <w:pPr>
              <w:keepNext w:val="0"/>
              <w:keepLines w:val="0"/>
              <w:pageBreakBefore w:val="0"/>
              <w:widowControl/>
              <w:kinsoku w:val="0"/>
              <w:wordWrap/>
              <w:overflowPunct/>
              <w:topLinePunct w:val="0"/>
              <w:autoSpaceDE w:val="0"/>
              <w:autoSpaceDN w:val="0"/>
              <w:bidi w:val="0"/>
              <w:adjustRightInd w:val="0"/>
              <w:snapToGrid w:val="0"/>
              <w:spacing w:before="35" w:line="185" w:lineRule="auto"/>
              <w:ind w:right="135" w:rightChars="0" w:firstLine="0" w:firstLineChars="0"/>
              <w:jc w:val="center"/>
              <w:textAlignment w:val="baseline"/>
              <w:rPr>
                <w:rFonts w:hint="eastAsia" w:ascii="宋体" w:hAnsi="宋体" w:eastAsia="宋体" w:cs="宋体"/>
                <w:snapToGrid w:val="0"/>
                <w:color w:val="auto"/>
                <w:spacing w:val="1"/>
                <w:kern w:val="0"/>
                <w:position w:val="-1"/>
                <w:sz w:val="18"/>
                <w:szCs w:val="18"/>
                <w:lang w:val="en-US" w:eastAsia="zh-CN"/>
              </w:rPr>
            </w:pPr>
            <w:r>
              <w:rPr>
                <w:rFonts w:hint="eastAsia" w:ascii="宋体" w:hAnsi="宋体" w:eastAsia="宋体" w:cs="宋体"/>
                <w:snapToGrid w:val="0"/>
                <w:color w:val="auto"/>
                <w:kern w:val="0"/>
                <w:sz w:val="18"/>
                <w:szCs w:val="18"/>
                <w:lang w:val="en-US" w:eastAsia="zh-CN" w:bidi="ar"/>
              </w:rPr>
              <w:t>（cm/s)</w:t>
            </w:r>
          </w:p>
        </w:tc>
      </w:tr>
      <w:tr w14:paraId="3D65AF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926" w:type="dxa"/>
            <w:vAlign w:val="center"/>
          </w:tcPr>
          <w:p w14:paraId="4C35CFD7">
            <w:pPr>
              <w:keepNext w:val="0"/>
              <w:keepLines w:val="0"/>
              <w:pageBreakBefore w:val="0"/>
              <w:widowControl/>
              <w:kinsoku w:val="0"/>
              <w:wordWrap/>
              <w:overflowPunct/>
              <w:topLinePunct w:val="0"/>
              <w:autoSpaceDE w:val="0"/>
              <w:autoSpaceDN w:val="0"/>
              <w:bidi w:val="0"/>
              <w:adjustRightInd w:val="0"/>
              <w:snapToGrid w:val="0"/>
              <w:spacing w:before="271" w:line="225" w:lineRule="auto"/>
              <w:ind w:left="363"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1"/>
                <w:kern w:val="0"/>
                <w:sz w:val="18"/>
                <w:szCs w:val="18"/>
              </w:rPr>
              <w:t>①</w:t>
            </w:r>
          </w:p>
        </w:tc>
        <w:tc>
          <w:tcPr>
            <w:tcW w:w="2020" w:type="dxa"/>
            <w:vAlign w:val="center"/>
          </w:tcPr>
          <w:p w14:paraId="3674DC34">
            <w:pPr>
              <w:keepNext w:val="0"/>
              <w:keepLines w:val="0"/>
              <w:pageBreakBefore w:val="0"/>
              <w:widowControl/>
              <w:kinsoku w:val="0"/>
              <w:wordWrap/>
              <w:overflowPunct/>
              <w:topLinePunct w:val="0"/>
              <w:autoSpaceDE w:val="0"/>
              <w:autoSpaceDN w:val="0"/>
              <w:bidi w:val="0"/>
              <w:adjustRightInd w:val="0"/>
              <w:snapToGrid w:val="0"/>
              <w:spacing w:before="270" w:line="228" w:lineRule="auto"/>
              <w:ind w:left="382"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10"/>
                <w:kern w:val="0"/>
                <w:sz w:val="18"/>
                <w:szCs w:val="18"/>
              </w:rPr>
              <w:t>坝</w:t>
            </w:r>
            <w:r>
              <w:rPr>
                <w:rFonts w:hint="eastAsia" w:ascii="宋体" w:hAnsi="宋体" w:eastAsia="宋体" w:cs="宋体"/>
                <w:snapToGrid w:val="0"/>
                <w:color w:val="auto"/>
                <w:spacing w:val="8"/>
                <w:kern w:val="0"/>
                <w:sz w:val="18"/>
                <w:szCs w:val="18"/>
              </w:rPr>
              <w:t>体粉质粘土</w:t>
            </w:r>
          </w:p>
        </w:tc>
        <w:tc>
          <w:tcPr>
            <w:tcW w:w="1396" w:type="dxa"/>
            <w:vAlign w:val="center"/>
          </w:tcPr>
          <w:p w14:paraId="0B721C8D">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2A64B7A4">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2"/>
                <w:kern w:val="0"/>
                <w:sz w:val="18"/>
                <w:szCs w:val="18"/>
              </w:rPr>
              <w:t>1.</w:t>
            </w:r>
            <w:r>
              <w:rPr>
                <w:rFonts w:hint="eastAsia" w:ascii="宋体" w:hAnsi="宋体" w:eastAsia="宋体" w:cs="宋体"/>
                <w:snapToGrid w:val="0"/>
                <w:color w:val="auto"/>
                <w:spacing w:val="-1"/>
                <w:kern w:val="0"/>
                <w:sz w:val="18"/>
                <w:szCs w:val="18"/>
              </w:rPr>
              <w:t>52</w:t>
            </w:r>
          </w:p>
        </w:tc>
        <w:tc>
          <w:tcPr>
            <w:tcW w:w="1394" w:type="dxa"/>
            <w:vAlign w:val="center"/>
          </w:tcPr>
          <w:p w14:paraId="7394F6CD">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637110FC">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3"/>
                <w:kern w:val="0"/>
                <w:sz w:val="18"/>
                <w:szCs w:val="18"/>
              </w:rPr>
              <w:t>1</w:t>
            </w:r>
            <w:r>
              <w:rPr>
                <w:rFonts w:hint="eastAsia" w:ascii="宋体" w:hAnsi="宋体" w:eastAsia="宋体" w:cs="宋体"/>
                <w:snapToGrid w:val="0"/>
                <w:color w:val="auto"/>
                <w:spacing w:val="-2"/>
                <w:kern w:val="0"/>
                <w:sz w:val="18"/>
                <w:szCs w:val="18"/>
              </w:rPr>
              <w:t>.81</w:t>
            </w:r>
          </w:p>
        </w:tc>
        <w:tc>
          <w:tcPr>
            <w:tcW w:w="1236" w:type="dxa"/>
            <w:vAlign w:val="center"/>
          </w:tcPr>
          <w:p w14:paraId="05E5978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1FA47062">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1"/>
                <w:kern w:val="0"/>
                <w:sz w:val="18"/>
                <w:szCs w:val="18"/>
              </w:rPr>
              <w:t>13.</w:t>
            </w:r>
            <w:r>
              <w:rPr>
                <w:rFonts w:hint="eastAsia" w:ascii="宋体" w:hAnsi="宋体" w:eastAsia="宋体" w:cs="宋体"/>
                <w:snapToGrid w:val="0"/>
                <w:color w:val="auto"/>
                <w:kern w:val="0"/>
                <w:sz w:val="18"/>
                <w:szCs w:val="18"/>
              </w:rPr>
              <w:t>67</w:t>
            </w:r>
          </w:p>
        </w:tc>
        <w:tc>
          <w:tcPr>
            <w:tcW w:w="1241" w:type="dxa"/>
            <w:vAlign w:val="center"/>
          </w:tcPr>
          <w:p w14:paraId="7FEDB11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50B2C01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1"/>
                <w:kern w:val="0"/>
                <w:sz w:val="18"/>
                <w:szCs w:val="18"/>
              </w:rPr>
              <w:t>19</w:t>
            </w:r>
            <w:r>
              <w:rPr>
                <w:rFonts w:hint="eastAsia" w:ascii="宋体" w:hAnsi="宋体" w:eastAsia="宋体" w:cs="宋体"/>
                <w:snapToGrid w:val="0"/>
                <w:color w:val="auto"/>
                <w:kern w:val="0"/>
                <w:sz w:val="18"/>
                <w:szCs w:val="18"/>
              </w:rPr>
              <w:t>.6</w:t>
            </w:r>
          </w:p>
        </w:tc>
        <w:tc>
          <w:tcPr>
            <w:tcW w:w="1241" w:type="dxa"/>
            <w:vAlign w:val="center"/>
          </w:tcPr>
          <w:p w14:paraId="7C86BAF1">
            <w:pPr>
              <w:keepNext w:val="0"/>
              <w:keepLines w:val="0"/>
              <w:pageBreakBefore w:val="0"/>
              <w:widowControl/>
              <w:kinsoku w:val="0"/>
              <w:wordWrap/>
              <w:overflowPunct/>
              <w:topLinePunct w:val="0"/>
              <w:autoSpaceDE w:val="0"/>
              <w:autoSpaceDN w:val="0"/>
              <w:bidi w:val="0"/>
              <w:adjustRightInd w:val="0"/>
              <w:snapToGrid w:val="0"/>
              <w:spacing w:before="286" w:line="219" w:lineRule="auto"/>
              <w:ind w:left="357"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1"/>
                <w:kern w:val="0"/>
                <w:position w:val="-1"/>
                <w:sz w:val="18"/>
                <w:szCs w:val="18"/>
              </w:rPr>
              <w:t>1.</w:t>
            </w:r>
            <w:r>
              <w:rPr>
                <w:rFonts w:hint="eastAsia" w:ascii="宋体" w:hAnsi="宋体" w:eastAsia="宋体" w:cs="宋体"/>
                <w:snapToGrid w:val="0"/>
                <w:color w:val="auto"/>
                <w:kern w:val="0"/>
                <w:position w:val="-1"/>
                <w:sz w:val="18"/>
                <w:szCs w:val="18"/>
              </w:rPr>
              <w:t>8E</w:t>
            </w:r>
            <w:r>
              <w:rPr>
                <w:rFonts w:hint="eastAsia" w:ascii="宋体" w:hAnsi="宋体" w:eastAsia="宋体" w:cs="宋体"/>
                <w:snapToGrid w:val="0"/>
                <w:color w:val="auto"/>
                <w:kern w:val="0"/>
                <w:position w:val="5"/>
                <w:sz w:val="18"/>
                <w:szCs w:val="18"/>
              </w:rPr>
              <w:t>-05</w:t>
            </w:r>
          </w:p>
        </w:tc>
      </w:tr>
      <w:tr w14:paraId="1E8416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jc w:val="center"/>
        </w:trPr>
        <w:tc>
          <w:tcPr>
            <w:tcW w:w="926" w:type="dxa"/>
            <w:vAlign w:val="center"/>
          </w:tcPr>
          <w:p w14:paraId="447633EF">
            <w:pPr>
              <w:keepNext w:val="0"/>
              <w:keepLines w:val="0"/>
              <w:pageBreakBefore w:val="0"/>
              <w:widowControl/>
              <w:kinsoku w:val="0"/>
              <w:wordWrap/>
              <w:overflowPunct/>
              <w:topLinePunct w:val="0"/>
              <w:autoSpaceDE w:val="0"/>
              <w:autoSpaceDN w:val="0"/>
              <w:bidi w:val="0"/>
              <w:adjustRightInd w:val="0"/>
              <w:snapToGrid w:val="0"/>
              <w:spacing w:before="270" w:line="225" w:lineRule="auto"/>
              <w:ind w:left="362"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2"/>
                <w:kern w:val="0"/>
                <w:sz w:val="18"/>
                <w:szCs w:val="18"/>
              </w:rPr>
              <w:t>②</w:t>
            </w:r>
          </w:p>
        </w:tc>
        <w:tc>
          <w:tcPr>
            <w:tcW w:w="2020" w:type="dxa"/>
            <w:vAlign w:val="center"/>
          </w:tcPr>
          <w:p w14:paraId="32F98F43">
            <w:pPr>
              <w:keepNext w:val="0"/>
              <w:keepLines w:val="0"/>
              <w:pageBreakBefore w:val="0"/>
              <w:widowControl/>
              <w:kinsoku w:val="0"/>
              <w:wordWrap/>
              <w:overflowPunct/>
              <w:topLinePunct w:val="0"/>
              <w:autoSpaceDE w:val="0"/>
              <w:autoSpaceDN w:val="0"/>
              <w:bidi w:val="0"/>
              <w:adjustRightInd w:val="0"/>
              <w:snapToGrid w:val="0"/>
              <w:spacing w:before="270" w:line="228" w:lineRule="auto"/>
              <w:ind w:left="698"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7"/>
                <w:kern w:val="0"/>
                <w:sz w:val="18"/>
                <w:szCs w:val="18"/>
              </w:rPr>
              <w:t>腐植</w:t>
            </w:r>
            <w:r>
              <w:rPr>
                <w:rFonts w:hint="eastAsia" w:ascii="宋体" w:hAnsi="宋体" w:eastAsia="宋体" w:cs="宋体"/>
                <w:snapToGrid w:val="0"/>
                <w:color w:val="auto"/>
                <w:spacing w:val="6"/>
                <w:kern w:val="0"/>
                <w:sz w:val="18"/>
                <w:szCs w:val="18"/>
              </w:rPr>
              <w:t>土</w:t>
            </w:r>
          </w:p>
        </w:tc>
        <w:tc>
          <w:tcPr>
            <w:tcW w:w="1396" w:type="dxa"/>
            <w:vAlign w:val="center"/>
          </w:tcPr>
          <w:p w14:paraId="447C837F">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22840627">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2"/>
                <w:kern w:val="0"/>
                <w:sz w:val="18"/>
                <w:szCs w:val="18"/>
              </w:rPr>
              <w:t>1.</w:t>
            </w:r>
            <w:r>
              <w:rPr>
                <w:rFonts w:hint="eastAsia" w:ascii="宋体" w:hAnsi="宋体" w:eastAsia="宋体" w:cs="宋体"/>
                <w:snapToGrid w:val="0"/>
                <w:color w:val="auto"/>
                <w:spacing w:val="-1"/>
                <w:kern w:val="0"/>
                <w:sz w:val="18"/>
                <w:szCs w:val="18"/>
              </w:rPr>
              <w:t>58</w:t>
            </w:r>
          </w:p>
        </w:tc>
        <w:tc>
          <w:tcPr>
            <w:tcW w:w="1394" w:type="dxa"/>
            <w:vAlign w:val="center"/>
          </w:tcPr>
          <w:p w14:paraId="7C1E835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66CAF78D">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3"/>
                <w:kern w:val="0"/>
                <w:sz w:val="18"/>
                <w:szCs w:val="18"/>
              </w:rPr>
              <w:t>1</w:t>
            </w:r>
            <w:r>
              <w:rPr>
                <w:rFonts w:hint="eastAsia" w:ascii="宋体" w:hAnsi="宋体" w:eastAsia="宋体" w:cs="宋体"/>
                <w:snapToGrid w:val="0"/>
                <w:color w:val="auto"/>
                <w:spacing w:val="-2"/>
                <w:kern w:val="0"/>
                <w:sz w:val="18"/>
                <w:szCs w:val="18"/>
              </w:rPr>
              <w:t>.95</w:t>
            </w:r>
          </w:p>
        </w:tc>
        <w:tc>
          <w:tcPr>
            <w:tcW w:w="1236" w:type="dxa"/>
            <w:vAlign w:val="center"/>
          </w:tcPr>
          <w:p w14:paraId="399341F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72267A1B">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8"/>
                <w:kern w:val="0"/>
                <w:sz w:val="18"/>
                <w:szCs w:val="18"/>
              </w:rPr>
              <w:t>1</w:t>
            </w:r>
            <w:r>
              <w:rPr>
                <w:rFonts w:hint="eastAsia" w:ascii="宋体" w:hAnsi="宋体" w:eastAsia="宋体" w:cs="宋体"/>
                <w:snapToGrid w:val="0"/>
                <w:color w:val="auto"/>
                <w:spacing w:val="-7"/>
                <w:kern w:val="0"/>
                <w:sz w:val="18"/>
                <w:szCs w:val="18"/>
              </w:rPr>
              <w:t>7</w:t>
            </w:r>
          </w:p>
        </w:tc>
        <w:tc>
          <w:tcPr>
            <w:tcW w:w="1241" w:type="dxa"/>
            <w:vAlign w:val="center"/>
          </w:tcPr>
          <w:p w14:paraId="627B0792">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7221BCE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8"/>
                <w:kern w:val="0"/>
                <w:sz w:val="18"/>
                <w:szCs w:val="18"/>
              </w:rPr>
              <w:t>1</w:t>
            </w:r>
            <w:r>
              <w:rPr>
                <w:rFonts w:hint="eastAsia" w:ascii="宋体" w:hAnsi="宋体" w:eastAsia="宋体" w:cs="宋体"/>
                <w:snapToGrid w:val="0"/>
                <w:color w:val="auto"/>
                <w:spacing w:val="-7"/>
                <w:kern w:val="0"/>
                <w:sz w:val="18"/>
                <w:szCs w:val="18"/>
              </w:rPr>
              <w:t>8</w:t>
            </w:r>
          </w:p>
        </w:tc>
        <w:tc>
          <w:tcPr>
            <w:tcW w:w="1241" w:type="dxa"/>
            <w:vAlign w:val="center"/>
          </w:tcPr>
          <w:p w14:paraId="0E40AA86">
            <w:pPr>
              <w:keepNext w:val="0"/>
              <w:keepLines w:val="0"/>
              <w:pageBreakBefore w:val="0"/>
              <w:widowControl/>
              <w:kinsoku w:val="0"/>
              <w:wordWrap/>
              <w:overflowPunct/>
              <w:topLinePunct w:val="0"/>
              <w:autoSpaceDE w:val="0"/>
              <w:autoSpaceDN w:val="0"/>
              <w:bidi w:val="0"/>
              <w:adjustRightInd w:val="0"/>
              <w:snapToGrid w:val="0"/>
              <w:spacing w:before="288" w:line="214" w:lineRule="auto"/>
              <w:ind w:left="341"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3"/>
                <w:kern w:val="0"/>
                <w:position w:val="-1"/>
                <w:sz w:val="18"/>
                <w:szCs w:val="18"/>
              </w:rPr>
              <w:t>6.5</w:t>
            </w:r>
            <w:r>
              <w:rPr>
                <w:rFonts w:hint="eastAsia" w:ascii="宋体" w:hAnsi="宋体" w:eastAsia="宋体" w:cs="宋体"/>
                <w:snapToGrid w:val="0"/>
                <w:color w:val="auto"/>
                <w:kern w:val="0"/>
                <w:position w:val="-1"/>
                <w:sz w:val="18"/>
                <w:szCs w:val="18"/>
              </w:rPr>
              <w:t>E</w:t>
            </w:r>
            <w:r>
              <w:rPr>
                <w:rFonts w:hint="eastAsia" w:ascii="宋体" w:hAnsi="宋体" w:eastAsia="宋体" w:cs="宋体"/>
                <w:snapToGrid w:val="0"/>
                <w:color w:val="auto"/>
                <w:spacing w:val="3"/>
                <w:kern w:val="0"/>
                <w:position w:val="5"/>
                <w:sz w:val="18"/>
                <w:szCs w:val="18"/>
              </w:rPr>
              <w:t>-05</w:t>
            </w:r>
          </w:p>
        </w:tc>
      </w:tr>
      <w:tr w14:paraId="67E123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jc w:val="center"/>
        </w:trPr>
        <w:tc>
          <w:tcPr>
            <w:tcW w:w="926" w:type="dxa"/>
            <w:vAlign w:val="center"/>
          </w:tcPr>
          <w:p w14:paraId="55A49F2F">
            <w:pPr>
              <w:keepNext w:val="0"/>
              <w:keepLines w:val="0"/>
              <w:pageBreakBefore w:val="0"/>
              <w:widowControl/>
              <w:kinsoku w:val="0"/>
              <w:wordWrap/>
              <w:overflowPunct/>
              <w:topLinePunct w:val="0"/>
              <w:autoSpaceDE w:val="0"/>
              <w:autoSpaceDN w:val="0"/>
              <w:bidi w:val="0"/>
              <w:adjustRightInd w:val="0"/>
              <w:snapToGrid w:val="0"/>
              <w:spacing w:before="272" w:line="225" w:lineRule="auto"/>
              <w:ind w:left="362"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2"/>
                <w:kern w:val="0"/>
                <w:sz w:val="18"/>
                <w:szCs w:val="18"/>
              </w:rPr>
              <w:t>③</w:t>
            </w:r>
          </w:p>
        </w:tc>
        <w:tc>
          <w:tcPr>
            <w:tcW w:w="2020" w:type="dxa"/>
            <w:vAlign w:val="center"/>
          </w:tcPr>
          <w:p w14:paraId="3A61ADC4">
            <w:pPr>
              <w:keepNext w:val="0"/>
              <w:keepLines w:val="0"/>
              <w:pageBreakBefore w:val="0"/>
              <w:widowControl/>
              <w:kinsoku w:val="0"/>
              <w:wordWrap/>
              <w:overflowPunct/>
              <w:topLinePunct w:val="0"/>
              <w:autoSpaceDE w:val="0"/>
              <w:autoSpaceDN w:val="0"/>
              <w:bidi w:val="0"/>
              <w:adjustRightInd w:val="0"/>
              <w:snapToGrid w:val="0"/>
              <w:spacing w:before="271" w:line="228" w:lineRule="auto"/>
              <w:ind w:left="594"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9"/>
                <w:kern w:val="0"/>
                <w:sz w:val="18"/>
                <w:szCs w:val="18"/>
              </w:rPr>
              <w:t>粉</w:t>
            </w:r>
            <w:r>
              <w:rPr>
                <w:rFonts w:hint="eastAsia" w:ascii="宋体" w:hAnsi="宋体" w:eastAsia="宋体" w:cs="宋体"/>
                <w:snapToGrid w:val="0"/>
                <w:color w:val="auto"/>
                <w:spacing w:val="7"/>
                <w:kern w:val="0"/>
                <w:sz w:val="18"/>
                <w:szCs w:val="18"/>
              </w:rPr>
              <w:t>质粘土</w:t>
            </w:r>
          </w:p>
        </w:tc>
        <w:tc>
          <w:tcPr>
            <w:tcW w:w="1396" w:type="dxa"/>
            <w:vAlign w:val="center"/>
          </w:tcPr>
          <w:p w14:paraId="60913E1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7748C7A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2"/>
                <w:kern w:val="0"/>
                <w:sz w:val="18"/>
                <w:szCs w:val="18"/>
              </w:rPr>
              <w:t>1.</w:t>
            </w:r>
            <w:r>
              <w:rPr>
                <w:rFonts w:hint="eastAsia" w:ascii="宋体" w:hAnsi="宋体" w:eastAsia="宋体" w:cs="宋体"/>
                <w:snapToGrid w:val="0"/>
                <w:color w:val="auto"/>
                <w:spacing w:val="-1"/>
                <w:kern w:val="0"/>
                <w:sz w:val="18"/>
                <w:szCs w:val="18"/>
              </w:rPr>
              <w:t>56</w:t>
            </w:r>
          </w:p>
        </w:tc>
        <w:tc>
          <w:tcPr>
            <w:tcW w:w="1394" w:type="dxa"/>
            <w:vAlign w:val="center"/>
          </w:tcPr>
          <w:p w14:paraId="53C9C085">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2F5D830D">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3"/>
                <w:kern w:val="0"/>
                <w:sz w:val="18"/>
                <w:szCs w:val="18"/>
              </w:rPr>
              <w:t>1</w:t>
            </w:r>
            <w:r>
              <w:rPr>
                <w:rFonts w:hint="eastAsia" w:ascii="宋体" w:hAnsi="宋体" w:eastAsia="宋体" w:cs="宋体"/>
                <w:snapToGrid w:val="0"/>
                <w:color w:val="auto"/>
                <w:spacing w:val="-2"/>
                <w:kern w:val="0"/>
                <w:sz w:val="18"/>
                <w:szCs w:val="18"/>
              </w:rPr>
              <w:t>.94</w:t>
            </w:r>
          </w:p>
        </w:tc>
        <w:tc>
          <w:tcPr>
            <w:tcW w:w="1236" w:type="dxa"/>
            <w:vAlign w:val="center"/>
          </w:tcPr>
          <w:p w14:paraId="2DEA19FB">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3F0A933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7"/>
                <w:kern w:val="0"/>
                <w:sz w:val="18"/>
                <w:szCs w:val="18"/>
              </w:rPr>
              <w:t>2</w:t>
            </w:r>
            <w:r>
              <w:rPr>
                <w:rFonts w:hint="eastAsia" w:ascii="宋体" w:hAnsi="宋体" w:eastAsia="宋体" w:cs="宋体"/>
                <w:snapToGrid w:val="0"/>
                <w:color w:val="auto"/>
                <w:spacing w:val="5"/>
                <w:kern w:val="0"/>
                <w:sz w:val="18"/>
                <w:szCs w:val="18"/>
              </w:rPr>
              <w:t>1.8</w:t>
            </w:r>
          </w:p>
        </w:tc>
        <w:tc>
          <w:tcPr>
            <w:tcW w:w="1241" w:type="dxa"/>
            <w:vAlign w:val="center"/>
          </w:tcPr>
          <w:p w14:paraId="162F250D">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6A3F7A1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6"/>
                <w:kern w:val="0"/>
                <w:sz w:val="18"/>
                <w:szCs w:val="18"/>
              </w:rPr>
              <w:t>2</w:t>
            </w:r>
            <w:r>
              <w:rPr>
                <w:rFonts w:hint="eastAsia" w:ascii="宋体" w:hAnsi="宋体" w:eastAsia="宋体" w:cs="宋体"/>
                <w:snapToGrid w:val="0"/>
                <w:color w:val="auto"/>
                <w:spacing w:val="4"/>
                <w:kern w:val="0"/>
                <w:sz w:val="18"/>
                <w:szCs w:val="18"/>
              </w:rPr>
              <w:t>0.3</w:t>
            </w:r>
          </w:p>
        </w:tc>
        <w:tc>
          <w:tcPr>
            <w:tcW w:w="1241" w:type="dxa"/>
            <w:vAlign w:val="center"/>
          </w:tcPr>
          <w:p w14:paraId="7526F497">
            <w:pPr>
              <w:keepNext w:val="0"/>
              <w:keepLines w:val="0"/>
              <w:pageBreakBefore w:val="0"/>
              <w:widowControl/>
              <w:kinsoku w:val="0"/>
              <w:wordWrap/>
              <w:overflowPunct/>
              <w:topLinePunct w:val="0"/>
              <w:autoSpaceDE w:val="0"/>
              <w:autoSpaceDN w:val="0"/>
              <w:bidi w:val="0"/>
              <w:adjustRightInd w:val="0"/>
              <w:snapToGrid w:val="0"/>
              <w:spacing w:before="287" w:line="219" w:lineRule="auto"/>
              <w:ind w:left="335"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4"/>
                <w:kern w:val="0"/>
                <w:position w:val="-1"/>
                <w:sz w:val="18"/>
                <w:szCs w:val="18"/>
              </w:rPr>
              <w:t>4.5</w:t>
            </w:r>
            <w:r>
              <w:rPr>
                <w:rFonts w:hint="eastAsia" w:ascii="宋体" w:hAnsi="宋体" w:eastAsia="宋体" w:cs="宋体"/>
                <w:snapToGrid w:val="0"/>
                <w:color w:val="auto"/>
                <w:kern w:val="0"/>
                <w:position w:val="-1"/>
                <w:sz w:val="18"/>
                <w:szCs w:val="18"/>
              </w:rPr>
              <w:t>E</w:t>
            </w:r>
            <w:r>
              <w:rPr>
                <w:rFonts w:hint="eastAsia" w:ascii="宋体" w:hAnsi="宋体" w:eastAsia="宋体" w:cs="宋体"/>
                <w:snapToGrid w:val="0"/>
                <w:color w:val="auto"/>
                <w:spacing w:val="4"/>
                <w:kern w:val="0"/>
                <w:position w:val="5"/>
                <w:sz w:val="18"/>
                <w:szCs w:val="18"/>
              </w:rPr>
              <w:t>-0</w:t>
            </w:r>
            <w:r>
              <w:rPr>
                <w:rFonts w:hint="eastAsia" w:ascii="宋体" w:hAnsi="宋体" w:eastAsia="宋体" w:cs="宋体"/>
                <w:snapToGrid w:val="0"/>
                <w:color w:val="auto"/>
                <w:spacing w:val="3"/>
                <w:kern w:val="0"/>
                <w:position w:val="5"/>
                <w:sz w:val="18"/>
                <w:szCs w:val="18"/>
              </w:rPr>
              <w:t>5</w:t>
            </w:r>
          </w:p>
        </w:tc>
      </w:tr>
      <w:tr w14:paraId="21EDBD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jc w:val="center"/>
        </w:trPr>
        <w:tc>
          <w:tcPr>
            <w:tcW w:w="926" w:type="dxa"/>
            <w:vAlign w:val="center"/>
          </w:tcPr>
          <w:p w14:paraId="73814A0B">
            <w:pPr>
              <w:keepNext w:val="0"/>
              <w:keepLines w:val="0"/>
              <w:pageBreakBefore w:val="0"/>
              <w:widowControl/>
              <w:kinsoku w:val="0"/>
              <w:wordWrap/>
              <w:overflowPunct/>
              <w:topLinePunct w:val="0"/>
              <w:autoSpaceDE w:val="0"/>
              <w:autoSpaceDN w:val="0"/>
              <w:bidi w:val="0"/>
              <w:adjustRightInd w:val="0"/>
              <w:snapToGrid w:val="0"/>
              <w:spacing w:before="271" w:line="225" w:lineRule="auto"/>
              <w:ind w:left="276"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6"/>
                <w:kern w:val="0"/>
                <w:sz w:val="18"/>
                <w:szCs w:val="18"/>
              </w:rPr>
              <w:t>④</w:t>
            </w:r>
            <w:r>
              <w:rPr>
                <w:rFonts w:hint="eastAsia" w:ascii="宋体" w:hAnsi="宋体" w:eastAsia="宋体" w:cs="宋体"/>
                <w:snapToGrid w:val="0"/>
                <w:color w:val="auto"/>
                <w:spacing w:val="-5"/>
                <w:kern w:val="0"/>
                <w:sz w:val="18"/>
                <w:szCs w:val="18"/>
              </w:rPr>
              <w:t>- 1</w:t>
            </w:r>
          </w:p>
        </w:tc>
        <w:tc>
          <w:tcPr>
            <w:tcW w:w="2020" w:type="dxa"/>
            <w:vAlign w:val="center"/>
          </w:tcPr>
          <w:p w14:paraId="5E5187D2">
            <w:pPr>
              <w:keepNext w:val="0"/>
              <w:keepLines w:val="0"/>
              <w:pageBreakBefore w:val="0"/>
              <w:widowControl/>
              <w:kinsoku w:val="0"/>
              <w:wordWrap/>
              <w:overflowPunct/>
              <w:topLinePunct w:val="0"/>
              <w:autoSpaceDE w:val="0"/>
              <w:autoSpaceDN w:val="0"/>
              <w:bidi w:val="0"/>
              <w:adjustRightInd w:val="0"/>
              <w:snapToGrid w:val="0"/>
              <w:spacing w:before="271" w:line="228" w:lineRule="auto"/>
              <w:ind w:left="388"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9"/>
                <w:kern w:val="0"/>
                <w:sz w:val="18"/>
                <w:szCs w:val="18"/>
              </w:rPr>
              <w:t>强</w:t>
            </w:r>
            <w:r>
              <w:rPr>
                <w:rFonts w:hint="eastAsia" w:ascii="宋体" w:hAnsi="宋体" w:eastAsia="宋体" w:cs="宋体"/>
                <w:snapToGrid w:val="0"/>
                <w:color w:val="auto"/>
                <w:spacing w:val="7"/>
                <w:kern w:val="0"/>
                <w:sz w:val="18"/>
                <w:szCs w:val="18"/>
              </w:rPr>
              <w:t>风化变质岩</w:t>
            </w:r>
          </w:p>
        </w:tc>
        <w:tc>
          <w:tcPr>
            <w:tcW w:w="1396" w:type="dxa"/>
            <w:vAlign w:val="center"/>
          </w:tcPr>
          <w:p w14:paraId="337E4F27">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69B93915">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4"/>
                <w:kern w:val="0"/>
                <w:sz w:val="18"/>
                <w:szCs w:val="18"/>
              </w:rPr>
              <w:t>1</w:t>
            </w:r>
            <w:r>
              <w:rPr>
                <w:rFonts w:hint="eastAsia" w:ascii="宋体" w:hAnsi="宋体" w:eastAsia="宋体" w:cs="宋体"/>
                <w:snapToGrid w:val="0"/>
                <w:color w:val="auto"/>
                <w:spacing w:val="-3"/>
                <w:kern w:val="0"/>
                <w:sz w:val="18"/>
                <w:szCs w:val="18"/>
              </w:rPr>
              <w:t>.</w:t>
            </w:r>
            <w:r>
              <w:rPr>
                <w:rFonts w:hint="eastAsia" w:ascii="宋体" w:hAnsi="宋体" w:eastAsia="宋体" w:cs="宋体"/>
                <w:snapToGrid w:val="0"/>
                <w:color w:val="auto"/>
                <w:spacing w:val="-2"/>
                <w:kern w:val="0"/>
                <w:sz w:val="18"/>
                <w:szCs w:val="18"/>
              </w:rPr>
              <w:t>7</w:t>
            </w:r>
          </w:p>
        </w:tc>
        <w:tc>
          <w:tcPr>
            <w:tcW w:w="1394" w:type="dxa"/>
            <w:vAlign w:val="center"/>
          </w:tcPr>
          <w:p w14:paraId="5CD829A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3C060D35">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11"/>
                <w:kern w:val="0"/>
                <w:sz w:val="18"/>
                <w:szCs w:val="18"/>
              </w:rPr>
              <w:t>2</w:t>
            </w:r>
            <w:r>
              <w:rPr>
                <w:rFonts w:hint="eastAsia" w:ascii="宋体" w:hAnsi="宋体" w:eastAsia="宋体" w:cs="宋体"/>
                <w:snapToGrid w:val="0"/>
                <w:color w:val="auto"/>
                <w:spacing w:val="-7"/>
                <w:kern w:val="0"/>
                <w:sz w:val="18"/>
                <w:szCs w:val="18"/>
              </w:rPr>
              <w:t>. 16</w:t>
            </w:r>
          </w:p>
        </w:tc>
        <w:tc>
          <w:tcPr>
            <w:tcW w:w="1236" w:type="dxa"/>
            <w:vAlign w:val="center"/>
          </w:tcPr>
          <w:p w14:paraId="4813030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50788C2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8"/>
                <w:kern w:val="0"/>
                <w:sz w:val="18"/>
                <w:szCs w:val="18"/>
              </w:rPr>
              <w:t>1</w:t>
            </w:r>
            <w:r>
              <w:rPr>
                <w:rFonts w:hint="eastAsia" w:ascii="宋体" w:hAnsi="宋体" w:eastAsia="宋体" w:cs="宋体"/>
                <w:snapToGrid w:val="0"/>
                <w:color w:val="auto"/>
                <w:spacing w:val="-7"/>
                <w:kern w:val="0"/>
                <w:sz w:val="18"/>
                <w:szCs w:val="18"/>
              </w:rPr>
              <w:t>3</w:t>
            </w:r>
          </w:p>
        </w:tc>
        <w:tc>
          <w:tcPr>
            <w:tcW w:w="1241" w:type="dxa"/>
            <w:vAlign w:val="center"/>
          </w:tcPr>
          <w:p w14:paraId="043E244D">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71C121D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1"/>
                <w:kern w:val="0"/>
                <w:sz w:val="18"/>
                <w:szCs w:val="18"/>
              </w:rPr>
              <w:t>3</w:t>
            </w:r>
            <w:r>
              <w:rPr>
                <w:rFonts w:hint="eastAsia" w:ascii="宋体" w:hAnsi="宋体" w:eastAsia="宋体" w:cs="宋体"/>
                <w:snapToGrid w:val="0"/>
                <w:color w:val="auto"/>
                <w:kern w:val="0"/>
                <w:sz w:val="18"/>
                <w:szCs w:val="18"/>
              </w:rPr>
              <w:t>0</w:t>
            </w:r>
          </w:p>
        </w:tc>
        <w:tc>
          <w:tcPr>
            <w:tcW w:w="1241" w:type="dxa"/>
            <w:vAlign w:val="center"/>
          </w:tcPr>
          <w:p w14:paraId="66028C63">
            <w:pPr>
              <w:keepNext w:val="0"/>
              <w:keepLines w:val="0"/>
              <w:pageBreakBefore w:val="0"/>
              <w:widowControl/>
              <w:kinsoku w:val="0"/>
              <w:wordWrap/>
              <w:overflowPunct/>
              <w:topLinePunct w:val="0"/>
              <w:autoSpaceDE w:val="0"/>
              <w:autoSpaceDN w:val="0"/>
              <w:bidi w:val="0"/>
              <w:adjustRightInd w:val="0"/>
              <w:snapToGrid w:val="0"/>
              <w:spacing w:before="290" w:line="213" w:lineRule="auto"/>
              <w:ind w:left="313"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4"/>
                <w:kern w:val="0"/>
                <w:position w:val="-1"/>
                <w:sz w:val="18"/>
                <w:szCs w:val="18"/>
              </w:rPr>
              <w:t>7</w:t>
            </w:r>
            <w:r>
              <w:rPr>
                <w:rFonts w:hint="eastAsia" w:ascii="宋体" w:hAnsi="宋体" w:eastAsia="宋体" w:cs="宋体"/>
                <w:snapToGrid w:val="0"/>
                <w:color w:val="auto"/>
                <w:spacing w:val="3"/>
                <w:kern w:val="0"/>
                <w:position w:val="-1"/>
                <w:sz w:val="18"/>
                <w:szCs w:val="18"/>
              </w:rPr>
              <w:t xml:space="preserve">.2 </w:t>
            </w:r>
            <w:r>
              <w:rPr>
                <w:rFonts w:hint="eastAsia" w:ascii="宋体" w:hAnsi="宋体" w:eastAsia="宋体" w:cs="宋体"/>
                <w:snapToGrid w:val="0"/>
                <w:color w:val="auto"/>
                <w:kern w:val="0"/>
                <w:position w:val="-1"/>
                <w:sz w:val="18"/>
                <w:szCs w:val="18"/>
              </w:rPr>
              <w:t>E</w:t>
            </w:r>
            <w:r>
              <w:rPr>
                <w:rFonts w:hint="eastAsia" w:ascii="宋体" w:hAnsi="宋体" w:eastAsia="宋体" w:cs="宋体"/>
                <w:snapToGrid w:val="0"/>
                <w:color w:val="auto"/>
                <w:spacing w:val="3"/>
                <w:kern w:val="0"/>
                <w:position w:val="5"/>
                <w:sz w:val="18"/>
                <w:szCs w:val="18"/>
              </w:rPr>
              <w:t>-05</w:t>
            </w:r>
          </w:p>
        </w:tc>
      </w:tr>
      <w:tr w14:paraId="700CD1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jc w:val="center"/>
        </w:trPr>
        <w:tc>
          <w:tcPr>
            <w:tcW w:w="926" w:type="dxa"/>
            <w:vAlign w:val="center"/>
          </w:tcPr>
          <w:p w14:paraId="336E76AA">
            <w:pPr>
              <w:keepNext w:val="0"/>
              <w:keepLines w:val="0"/>
              <w:pageBreakBefore w:val="0"/>
              <w:widowControl/>
              <w:kinsoku w:val="0"/>
              <w:wordWrap/>
              <w:overflowPunct/>
              <w:topLinePunct w:val="0"/>
              <w:autoSpaceDE w:val="0"/>
              <w:autoSpaceDN w:val="0"/>
              <w:bidi w:val="0"/>
              <w:adjustRightInd w:val="0"/>
              <w:snapToGrid w:val="0"/>
              <w:spacing w:before="274" w:line="225" w:lineRule="auto"/>
              <w:ind w:left="276"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3"/>
                <w:kern w:val="0"/>
                <w:sz w:val="18"/>
                <w:szCs w:val="18"/>
              </w:rPr>
              <w:t>④-2</w:t>
            </w:r>
          </w:p>
        </w:tc>
        <w:tc>
          <w:tcPr>
            <w:tcW w:w="2020" w:type="dxa"/>
            <w:vAlign w:val="center"/>
          </w:tcPr>
          <w:p w14:paraId="3C370DA9">
            <w:pPr>
              <w:keepNext w:val="0"/>
              <w:keepLines w:val="0"/>
              <w:pageBreakBefore w:val="0"/>
              <w:widowControl/>
              <w:kinsoku w:val="0"/>
              <w:wordWrap/>
              <w:overflowPunct/>
              <w:topLinePunct w:val="0"/>
              <w:autoSpaceDE w:val="0"/>
              <w:autoSpaceDN w:val="0"/>
              <w:bidi w:val="0"/>
              <w:adjustRightInd w:val="0"/>
              <w:snapToGrid w:val="0"/>
              <w:spacing w:before="274" w:line="228" w:lineRule="auto"/>
              <w:ind w:left="403"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5"/>
                <w:kern w:val="0"/>
                <w:sz w:val="18"/>
                <w:szCs w:val="18"/>
              </w:rPr>
              <w:t>中风化变质</w:t>
            </w:r>
            <w:r>
              <w:rPr>
                <w:rFonts w:hint="eastAsia" w:ascii="宋体" w:hAnsi="宋体" w:eastAsia="宋体" w:cs="宋体"/>
                <w:snapToGrid w:val="0"/>
                <w:color w:val="auto"/>
                <w:spacing w:val="4"/>
                <w:kern w:val="0"/>
                <w:sz w:val="18"/>
                <w:szCs w:val="18"/>
              </w:rPr>
              <w:t>岩</w:t>
            </w:r>
          </w:p>
        </w:tc>
        <w:tc>
          <w:tcPr>
            <w:tcW w:w="1396" w:type="dxa"/>
            <w:vAlign w:val="center"/>
          </w:tcPr>
          <w:p w14:paraId="2A85AAD4">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2B47283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6"/>
                <w:kern w:val="0"/>
                <w:sz w:val="18"/>
                <w:szCs w:val="18"/>
              </w:rPr>
              <w:t>2</w:t>
            </w:r>
            <w:r>
              <w:rPr>
                <w:rFonts w:hint="eastAsia" w:ascii="宋体" w:hAnsi="宋体" w:eastAsia="宋体" w:cs="宋体"/>
                <w:snapToGrid w:val="0"/>
                <w:color w:val="auto"/>
                <w:spacing w:val="4"/>
                <w:kern w:val="0"/>
                <w:sz w:val="18"/>
                <w:szCs w:val="18"/>
              </w:rPr>
              <w:t>.5</w:t>
            </w:r>
          </w:p>
        </w:tc>
        <w:tc>
          <w:tcPr>
            <w:tcW w:w="1394" w:type="dxa"/>
            <w:vAlign w:val="center"/>
          </w:tcPr>
          <w:p w14:paraId="20A962AC">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158CB502">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3"/>
                <w:kern w:val="0"/>
                <w:sz w:val="18"/>
                <w:szCs w:val="18"/>
              </w:rPr>
              <w:t>2.5</w:t>
            </w:r>
            <w:r>
              <w:rPr>
                <w:rFonts w:hint="eastAsia" w:ascii="宋体" w:hAnsi="宋体" w:eastAsia="宋体" w:cs="宋体"/>
                <w:snapToGrid w:val="0"/>
                <w:color w:val="auto"/>
                <w:spacing w:val="2"/>
                <w:kern w:val="0"/>
                <w:sz w:val="18"/>
                <w:szCs w:val="18"/>
              </w:rPr>
              <w:t>8</w:t>
            </w:r>
          </w:p>
        </w:tc>
        <w:tc>
          <w:tcPr>
            <w:tcW w:w="1236" w:type="dxa"/>
            <w:vAlign w:val="center"/>
          </w:tcPr>
          <w:p w14:paraId="08208F7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1091DF3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1"/>
                <w:kern w:val="0"/>
                <w:sz w:val="18"/>
                <w:szCs w:val="18"/>
              </w:rPr>
              <w:t>3</w:t>
            </w:r>
            <w:r>
              <w:rPr>
                <w:rFonts w:hint="eastAsia" w:ascii="宋体" w:hAnsi="宋体" w:eastAsia="宋体" w:cs="宋体"/>
                <w:snapToGrid w:val="0"/>
                <w:color w:val="auto"/>
                <w:kern w:val="0"/>
                <w:sz w:val="18"/>
                <w:szCs w:val="18"/>
              </w:rPr>
              <w:t>0</w:t>
            </w:r>
          </w:p>
        </w:tc>
        <w:tc>
          <w:tcPr>
            <w:tcW w:w="1241" w:type="dxa"/>
            <w:vAlign w:val="center"/>
          </w:tcPr>
          <w:p w14:paraId="1E4B676D">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kern w:val="0"/>
                <w:sz w:val="18"/>
                <w:szCs w:val="18"/>
              </w:rPr>
            </w:pPr>
          </w:p>
          <w:p w14:paraId="4ECF819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3"/>
                <w:kern w:val="0"/>
                <w:sz w:val="18"/>
                <w:szCs w:val="18"/>
              </w:rPr>
              <w:t>40</w:t>
            </w:r>
          </w:p>
        </w:tc>
        <w:tc>
          <w:tcPr>
            <w:tcW w:w="1241" w:type="dxa"/>
            <w:vAlign w:val="center"/>
          </w:tcPr>
          <w:p w14:paraId="26C602FF">
            <w:pPr>
              <w:keepNext w:val="0"/>
              <w:keepLines w:val="0"/>
              <w:pageBreakBefore w:val="0"/>
              <w:widowControl/>
              <w:kinsoku w:val="0"/>
              <w:wordWrap/>
              <w:overflowPunct/>
              <w:topLinePunct w:val="0"/>
              <w:autoSpaceDE w:val="0"/>
              <w:autoSpaceDN w:val="0"/>
              <w:bidi w:val="0"/>
              <w:adjustRightInd w:val="0"/>
              <w:snapToGrid w:val="0"/>
              <w:spacing w:before="289" w:line="219" w:lineRule="auto"/>
              <w:ind w:left="335" w:firstLine="0" w:firstLineChars="0"/>
              <w:jc w:val="left"/>
              <w:textAlignment w:val="baseline"/>
              <w:rPr>
                <w:rFonts w:hint="eastAsia" w:ascii="宋体" w:hAnsi="宋体" w:eastAsia="宋体" w:cs="宋体"/>
                <w:snapToGrid w:val="0"/>
                <w:color w:val="auto"/>
                <w:kern w:val="0"/>
                <w:sz w:val="18"/>
                <w:szCs w:val="18"/>
              </w:rPr>
            </w:pPr>
            <w:r>
              <w:rPr>
                <w:rFonts w:hint="eastAsia" w:ascii="宋体" w:hAnsi="宋体" w:eastAsia="宋体" w:cs="宋体"/>
                <w:snapToGrid w:val="0"/>
                <w:color w:val="auto"/>
                <w:spacing w:val="4"/>
                <w:kern w:val="0"/>
                <w:position w:val="-1"/>
                <w:sz w:val="18"/>
                <w:szCs w:val="18"/>
              </w:rPr>
              <w:t>4.5</w:t>
            </w:r>
            <w:r>
              <w:rPr>
                <w:rFonts w:hint="eastAsia" w:ascii="宋体" w:hAnsi="宋体" w:eastAsia="宋体" w:cs="宋体"/>
                <w:snapToGrid w:val="0"/>
                <w:color w:val="auto"/>
                <w:kern w:val="0"/>
                <w:position w:val="-1"/>
                <w:sz w:val="18"/>
                <w:szCs w:val="18"/>
              </w:rPr>
              <w:t>E</w:t>
            </w:r>
            <w:r>
              <w:rPr>
                <w:rFonts w:hint="eastAsia" w:ascii="宋体" w:hAnsi="宋体" w:eastAsia="宋体" w:cs="宋体"/>
                <w:snapToGrid w:val="0"/>
                <w:color w:val="auto"/>
                <w:spacing w:val="4"/>
                <w:kern w:val="0"/>
                <w:position w:val="5"/>
                <w:sz w:val="18"/>
                <w:szCs w:val="18"/>
              </w:rPr>
              <w:t>-0</w:t>
            </w:r>
            <w:r>
              <w:rPr>
                <w:rFonts w:hint="eastAsia" w:ascii="宋体" w:hAnsi="宋体" w:eastAsia="宋体" w:cs="宋体"/>
                <w:snapToGrid w:val="0"/>
                <w:color w:val="auto"/>
                <w:spacing w:val="3"/>
                <w:kern w:val="0"/>
                <w:position w:val="5"/>
                <w:sz w:val="18"/>
                <w:szCs w:val="18"/>
              </w:rPr>
              <w:t>6</w:t>
            </w:r>
          </w:p>
        </w:tc>
      </w:tr>
    </w:tbl>
    <w:p w14:paraId="6A85A8E4">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jc w:val="left"/>
        <w:textAlignment w:val="baseline"/>
        <w:outlineLvl w:val="9"/>
        <w:rPr>
          <w:rFonts w:hint="eastAsia" w:ascii="宋体" w:hAnsi="宋体" w:eastAsia="宋体" w:cs="宋体"/>
          <w:snapToGrid w:val="0"/>
          <w:color w:val="auto"/>
          <w:kern w:val="0"/>
          <w:sz w:val="28"/>
          <w:szCs w:val="28"/>
          <w:lang w:val="en-US" w:eastAsia="zh-CN"/>
        </w:rPr>
      </w:pPr>
      <w:bookmarkStart w:id="164" w:name="_Toc20076"/>
      <w:bookmarkStart w:id="165" w:name="_Toc7883"/>
      <w:r>
        <w:rPr>
          <w:rFonts w:hint="eastAsia" w:ascii="宋体" w:hAnsi="宋体" w:eastAsia="宋体" w:cs="宋体"/>
          <w:b w:val="0"/>
          <w:bCs w:val="0"/>
          <w:snapToGrid w:val="0"/>
          <w:color w:val="auto"/>
          <w:spacing w:val="0"/>
          <w:kern w:val="0"/>
          <w:sz w:val="28"/>
          <w:szCs w:val="28"/>
          <w:lang w:val="en-US" w:eastAsia="zh-CN"/>
        </w:rPr>
        <w:t>4.计算方法</w:t>
      </w:r>
      <w:bookmarkEnd w:id="164"/>
      <w:bookmarkEnd w:id="165"/>
    </w:p>
    <w:p w14:paraId="23D3C49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0" w:firstLineChars="200"/>
        <w:jc w:val="left"/>
        <w:textAlignment w:val="baseline"/>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spacing w:val="-10"/>
          <w:kern w:val="0"/>
          <w:sz w:val="28"/>
          <w:szCs w:val="28"/>
        </w:rPr>
        <w:t>本次分析</w:t>
      </w:r>
      <w:r>
        <w:rPr>
          <w:rFonts w:hint="default" w:ascii="Times New Roman" w:hAnsi="Times New Roman" w:eastAsia="宋体" w:cs="Times New Roman"/>
          <w:snapToGrid w:val="0"/>
          <w:color w:val="auto"/>
          <w:spacing w:val="-6"/>
          <w:kern w:val="0"/>
          <w:sz w:val="28"/>
          <w:szCs w:val="28"/>
        </w:rPr>
        <w:t>选</w:t>
      </w:r>
      <w:r>
        <w:rPr>
          <w:rFonts w:hint="default" w:ascii="Times New Roman" w:hAnsi="Times New Roman" w:eastAsia="宋体" w:cs="Times New Roman"/>
          <w:snapToGrid w:val="0"/>
          <w:color w:val="auto"/>
          <w:spacing w:val="-5"/>
          <w:kern w:val="0"/>
          <w:sz w:val="28"/>
          <w:szCs w:val="28"/>
        </w:rPr>
        <w:t>用加拿大的 Rocscience 公司的 Slide 边坡稳定计算软件，</w:t>
      </w:r>
      <w:r>
        <w:rPr>
          <w:rFonts w:hint="default" w:ascii="Times New Roman" w:hAnsi="Times New Roman" w:eastAsia="宋体" w:cs="Times New Roman"/>
          <w:snapToGrid w:val="0"/>
          <w:color w:val="auto"/>
          <w:kern w:val="0"/>
          <w:sz w:val="28"/>
          <w:szCs w:val="28"/>
        </w:rPr>
        <w:t>Slide</w:t>
      </w:r>
      <w:r>
        <w:rPr>
          <w:rFonts w:hint="default" w:ascii="Times New Roman" w:hAnsi="Times New Roman" w:eastAsia="宋体" w:cs="Times New Roman"/>
          <w:snapToGrid w:val="0"/>
          <w:color w:val="auto"/>
          <w:spacing w:val="-1"/>
          <w:kern w:val="0"/>
          <w:sz w:val="28"/>
          <w:szCs w:val="28"/>
        </w:rPr>
        <w:t>软件广泛适用于各种露天矿山边坡、公路路</w:t>
      </w:r>
      <w:r>
        <w:rPr>
          <w:rFonts w:hint="default" w:ascii="Times New Roman" w:hAnsi="Times New Roman" w:eastAsia="宋体" w:cs="Times New Roman"/>
          <w:snapToGrid w:val="0"/>
          <w:color w:val="auto"/>
          <w:kern w:val="0"/>
          <w:sz w:val="28"/>
          <w:szCs w:val="28"/>
        </w:rPr>
        <w:t>堤和水利堤坝等边坡。</w:t>
      </w:r>
    </w:p>
    <w:p w14:paraId="22F58694">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4" w:firstLineChars="200"/>
        <w:jc w:val="left"/>
        <w:textAlignment w:val="baseline"/>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spacing w:val="-4"/>
          <w:kern w:val="0"/>
          <w:sz w:val="28"/>
          <w:szCs w:val="28"/>
        </w:rPr>
        <w:t>根据</w:t>
      </w:r>
      <w:r>
        <w:rPr>
          <w:rFonts w:hint="default" w:ascii="Times New Roman" w:hAnsi="Times New Roman" w:eastAsia="宋体" w:cs="Times New Roman"/>
          <w:snapToGrid w:val="0"/>
          <w:color w:val="auto"/>
          <w:spacing w:val="-2"/>
          <w:kern w:val="0"/>
          <w:sz w:val="28"/>
          <w:szCs w:val="28"/>
        </w:rPr>
        <w:t>《尾矿</w:t>
      </w:r>
      <w:r>
        <w:rPr>
          <w:rFonts w:hint="eastAsia" w:ascii="Times New Roman" w:hAnsi="Times New Roman" w:cs="Times New Roman"/>
          <w:snapToGrid w:val="0"/>
          <w:color w:val="auto"/>
          <w:spacing w:val="-2"/>
          <w:kern w:val="0"/>
          <w:sz w:val="28"/>
          <w:szCs w:val="28"/>
          <w:lang w:val="en-US" w:eastAsia="zh-CN"/>
        </w:rPr>
        <w:t>库</w:t>
      </w:r>
      <w:r>
        <w:rPr>
          <w:rFonts w:hint="default" w:ascii="Times New Roman" w:hAnsi="Times New Roman" w:eastAsia="宋体" w:cs="Times New Roman"/>
          <w:snapToGrid w:val="0"/>
          <w:color w:val="auto"/>
          <w:spacing w:val="-2"/>
          <w:kern w:val="0"/>
          <w:sz w:val="28"/>
          <w:szCs w:val="28"/>
        </w:rPr>
        <w:t>安全规程》</w:t>
      </w:r>
      <w:r>
        <w:rPr>
          <w:rFonts w:hint="eastAsia" w:ascii="Times New Roman" w:hAnsi="Times New Roman" w:cs="Times New Roman"/>
          <w:snapToGrid w:val="0"/>
          <w:color w:val="auto"/>
          <w:spacing w:val="-2"/>
          <w:kern w:val="0"/>
          <w:sz w:val="28"/>
          <w:szCs w:val="28"/>
          <w:lang w:eastAsia="zh-CN"/>
        </w:rPr>
        <w:t>（</w:t>
      </w:r>
      <w:r>
        <w:rPr>
          <w:rFonts w:hint="default" w:ascii="Times New Roman" w:hAnsi="Times New Roman" w:eastAsia="宋体" w:cs="Times New Roman"/>
          <w:snapToGrid w:val="0"/>
          <w:color w:val="auto"/>
          <w:spacing w:val="-2"/>
          <w:kern w:val="0"/>
          <w:sz w:val="28"/>
          <w:szCs w:val="28"/>
          <w:lang w:val="en-US" w:eastAsia="zh-CN"/>
        </w:rPr>
        <w:t>GB 39496-2020</w:t>
      </w:r>
      <w:r>
        <w:rPr>
          <w:rFonts w:hint="eastAsia" w:ascii="Times New Roman" w:hAnsi="Times New Roman" w:cs="Times New Roman"/>
          <w:snapToGrid w:val="0"/>
          <w:color w:val="auto"/>
          <w:spacing w:val="-2"/>
          <w:kern w:val="0"/>
          <w:sz w:val="28"/>
          <w:szCs w:val="28"/>
          <w:lang w:eastAsia="zh-CN"/>
        </w:rPr>
        <w:t>）</w:t>
      </w:r>
      <w:r>
        <w:rPr>
          <w:rFonts w:hint="default" w:ascii="Times New Roman" w:hAnsi="Times New Roman" w:eastAsia="宋体" w:cs="Times New Roman"/>
          <w:snapToGrid w:val="0"/>
          <w:color w:val="auto"/>
          <w:spacing w:val="-2"/>
          <w:kern w:val="0"/>
          <w:sz w:val="28"/>
          <w:szCs w:val="28"/>
        </w:rPr>
        <w:t>，尾矿坝稳定计算方法宜</w:t>
      </w:r>
      <w:r>
        <w:rPr>
          <w:rFonts w:hint="default" w:ascii="Times New Roman" w:hAnsi="Times New Roman" w:eastAsia="宋体" w:cs="Times New Roman"/>
          <w:snapToGrid w:val="0"/>
          <w:color w:val="auto"/>
          <w:spacing w:val="-1"/>
          <w:kern w:val="0"/>
          <w:sz w:val="28"/>
          <w:szCs w:val="28"/>
        </w:rPr>
        <w:t>采用瑞典圆弧法。</w:t>
      </w:r>
    </w:p>
    <w:p w14:paraId="5CBFE6E9">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jc w:val="left"/>
        <w:textAlignment w:val="baseline"/>
        <w:outlineLvl w:val="9"/>
        <w:rPr>
          <w:rFonts w:hint="default" w:ascii="Times New Roman" w:hAnsi="Times New Roman" w:eastAsia="宋体" w:cs="Times New Roman"/>
          <w:b w:val="0"/>
          <w:bCs w:val="0"/>
          <w:snapToGrid w:val="0"/>
          <w:color w:val="auto"/>
          <w:spacing w:val="0"/>
          <w:kern w:val="0"/>
          <w:sz w:val="28"/>
          <w:szCs w:val="28"/>
          <w:lang w:val="en-US" w:eastAsia="zh-CN"/>
        </w:rPr>
      </w:pPr>
      <w:bookmarkStart w:id="166" w:name="_Toc12288"/>
      <w:bookmarkStart w:id="167" w:name="_Toc2247"/>
      <w:r>
        <w:rPr>
          <w:rFonts w:hint="default" w:ascii="Times New Roman" w:hAnsi="Times New Roman" w:eastAsia="宋体" w:cs="Times New Roman"/>
          <w:b w:val="0"/>
          <w:bCs w:val="0"/>
          <w:snapToGrid w:val="0"/>
          <w:color w:val="auto"/>
          <w:spacing w:val="0"/>
          <w:kern w:val="0"/>
          <w:sz w:val="28"/>
          <w:szCs w:val="28"/>
          <w:lang w:val="en-US" w:eastAsia="zh-CN"/>
        </w:rPr>
        <w:t>5.计算结果</w:t>
      </w:r>
      <w:bookmarkEnd w:id="166"/>
      <w:bookmarkEnd w:id="167"/>
    </w:p>
    <w:p w14:paraId="59B52F88">
      <w:pPr>
        <w:keepNext w:val="0"/>
        <w:keepLines w:val="0"/>
        <w:pageBreakBefore w:val="0"/>
        <w:widowControl w:val="0"/>
        <w:kinsoku w:val="0"/>
        <w:wordWrap/>
        <w:overflowPunct/>
        <w:topLinePunct w:val="0"/>
        <w:autoSpaceDE w:val="0"/>
        <w:autoSpaceDN w:val="0"/>
        <w:bidi w:val="0"/>
        <w:adjustRightInd w:val="0"/>
        <w:snapToGrid w:val="0"/>
        <w:spacing w:line="560" w:lineRule="exact"/>
        <w:ind w:left="0" w:right="0" w:firstLine="520" w:firstLineChars="200"/>
        <w:jc w:val="left"/>
        <w:textAlignment w:val="baseline"/>
        <w:rPr>
          <w:rFonts w:hint="default" w:ascii="Times New Roman" w:hAnsi="Times New Roman" w:eastAsia="宋体" w:cs="Times New Roman"/>
          <w:snapToGrid w:val="0"/>
          <w:color w:val="auto"/>
          <w:spacing w:val="-10"/>
          <w:kern w:val="0"/>
          <w:sz w:val="28"/>
          <w:szCs w:val="28"/>
        </w:rPr>
      </w:pPr>
      <w:r>
        <w:rPr>
          <w:rFonts w:hint="default" w:ascii="Times New Roman" w:hAnsi="Times New Roman" w:eastAsia="宋体" w:cs="Times New Roman"/>
          <w:snapToGrid w:val="0"/>
          <w:color w:val="auto"/>
          <w:spacing w:val="-10"/>
          <w:kern w:val="0"/>
          <w:sz w:val="28"/>
          <w:szCs w:val="28"/>
        </w:rPr>
        <w:t>对尾矿坝进行稳定计算前，先用 Slide 软件对尾矿坝进行渗流计算，渗流计算的结果可用于坝坡稳定分析，以取得坝坡稳定的定性分析结果。</w:t>
      </w:r>
    </w:p>
    <w:p w14:paraId="103369CD">
      <w:pPr>
        <w:keepNext w:val="0"/>
        <w:keepLines w:val="0"/>
        <w:pageBreakBefore w:val="0"/>
        <w:widowControl w:val="0"/>
        <w:kinsoku w:val="0"/>
        <w:wordWrap/>
        <w:overflowPunct/>
        <w:topLinePunct w:val="0"/>
        <w:autoSpaceDE w:val="0"/>
        <w:autoSpaceDN w:val="0"/>
        <w:bidi w:val="0"/>
        <w:adjustRightInd w:val="0"/>
        <w:snapToGrid w:val="0"/>
        <w:spacing w:line="560" w:lineRule="exact"/>
        <w:ind w:left="0" w:right="0" w:firstLine="520" w:firstLineChars="200"/>
        <w:jc w:val="left"/>
        <w:textAlignment w:val="baseline"/>
        <w:rPr>
          <w:rFonts w:hint="eastAsia" w:ascii="宋体" w:hAnsi="宋体" w:eastAsia="宋体" w:cs="宋体"/>
          <w:snapToGrid w:val="0"/>
          <w:color w:val="auto"/>
          <w:spacing w:val="-10"/>
          <w:kern w:val="0"/>
          <w:sz w:val="28"/>
          <w:szCs w:val="28"/>
          <w:lang w:eastAsia="zh-CN"/>
        </w:rPr>
      </w:pPr>
      <w:r>
        <w:rPr>
          <w:rFonts w:hint="default" w:ascii="Times New Roman" w:hAnsi="Times New Roman" w:eastAsia="宋体" w:cs="Times New Roman"/>
          <w:snapToGrid w:val="0"/>
          <w:color w:val="auto"/>
          <w:spacing w:val="-10"/>
          <w:kern w:val="0"/>
          <w:sz w:val="28"/>
          <w:szCs w:val="28"/>
        </w:rPr>
        <w:t>矿库的坝顶高程为 233.0m，坝顶安全超高不小于 0.4m，正常水位为 231.0m，最高洪水位为 232.6m 。浸润线从排水棱体表面逸出，渗流计算到的坝体浸润线位置可见图 5.2</w:t>
      </w:r>
      <w:r>
        <w:rPr>
          <w:rFonts w:hint="eastAsia" w:ascii="Times New Roman" w:hAnsi="Times New Roman" w:cs="Times New Roman"/>
          <w:snapToGrid w:val="0"/>
          <w:color w:val="auto"/>
          <w:spacing w:val="-10"/>
          <w:kern w:val="0"/>
          <w:sz w:val="28"/>
          <w:szCs w:val="28"/>
          <w:lang w:val="en-US" w:eastAsia="zh-CN"/>
        </w:rPr>
        <w:t>.2</w:t>
      </w:r>
      <w:r>
        <w:rPr>
          <w:rFonts w:hint="default" w:ascii="Times New Roman" w:hAnsi="Times New Roman" w:eastAsia="宋体" w:cs="Times New Roman"/>
          <w:snapToGrid w:val="0"/>
          <w:color w:val="auto"/>
          <w:spacing w:val="-10"/>
          <w:kern w:val="0"/>
          <w:sz w:val="28"/>
          <w:szCs w:val="28"/>
        </w:rPr>
        <w:t>- 1与图 5.2</w:t>
      </w:r>
      <w:r>
        <w:rPr>
          <w:rFonts w:hint="eastAsia" w:ascii="Times New Roman" w:hAnsi="Times New Roman" w:cs="Times New Roman"/>
          <w:snapToGrid w:val="0"/>
          <w:color w:val="auto"/>
          <w:spacing w:val="-10"/>
          <w:kern w:val="0"/>
          <w:sz w:val="28"/>
          <w:szCs w:val="28"/>
          <w:lang w:val="en-US" w:eastAsia="zh-CN"/>
        </w:rPr>
        <w:t>.2</w:t>
      </w:r>
      <w:r>
        <w:rPr>
          <w:rFonts w:hint="default" w:ascii="Times New Roman" w:hAnsi="Times New Roman" w:eastAsia="宋体" w:cs="Times New Roman"/>
          <w:snapToGrid w:val="0"/>
          <w:color w:val="auto"/>
          <w:spacing w:val="-10"/>
          <w:kern w:val="0"/>
          <w:sz w:val="28"/>
          <w:szCs w:val="28"/>
        </w:rPr>
        <w:t>-2</w:t>
      </w:r>
      <w:r>
        <w:rPr>
          <w:rFonts w:hint="default" w:ascii="Times New Roman" w:hAnsi="Times New Roman" w:eastAsia="宋体" w:cs="Times New Roman"/>
          <w:snapToGrid w:val="0"/>
          <w:color w:val="auto"/>
          <w:spacing w:val="-10"/>
          <w:kern w:val="0"/>
          <w:sz w:val="28"/>
          <w:szCs w:val="28"/>
          <w:lang w:eastAsia="zh-CN"/>
        </w:rPr>
        <w:t>。</w:t>
      </w:r>
    </w:p>
    <w:p w14:paraId="77553725">
      <w:pPr>
        <w:kinsoku w:val="0"/>
        <w:autoSpaceDE w:val="0"/>
        <w:autoSpaceDN w:val="0"/>
        <w:adjustRightInd w:val="0"/>
        <w:snapToGrid w:val="0"/>
        <w:spacing w:line="240" w:lineRule="auto"/>
        <w:jc w:val="left"/>
        <w:textAlignment w:val="baseline"/>
        <w:rPr>
          <w:rFonts w:hint="eastAsia" w:ascii="宋体" w:hAnsi="宋体" w:eastAsia="宋体" w:cs="宋体"/>
          <w:snapToGrid w:val="0"/>
          <w:color w:val="auto"/>
          <w:spacing w:val="-10"/>
          <w:kern w:val="0"/>
          <w:sz w:val="28"/>
          <w:szCs w:val="28"/>
          <w:lang w:eastAsia="zh-CN"/>
        </w:rPr>
      </w:pPr>
      <w:r>
        <w:rPr>
          <w:rFonts w:ascii="宋体" w:hAnsi="宋体" w:eastAsia="Arial" w:cs="宋体"/>
          <w:snapToGrid w:val="0"/>
          <w:color w:val="auto"/>
          <w:kern w:val="0"/>
          <w:sz w:val="21"/>
          <w:szCs w:val="20"/>
        </w:rPr>
        <w:drawing>
          <wp:anchor distT="0" distB="0" distL="0" distR="0" simplePos="0" relativeHeight="251661312" behindDoc="1" locked="0" layoutInCell="1" allowOverlap="1">
            <wp:simplePos x="0" y="0"/>
            <wp:positionH relativeFrom="column">
              <wp:posOffset>308610</wp:posOffset>
            </wp:positionH>
            <wp:positionV relativeFrom="paragraph">
              <wp:posOffset>45720</wp:posOffset>
            </wp:positionV>
            <wp:extent cx="5277485" cy="1378585"/>
            <wp:effectExtent l="0" t="0" r="18415" b="12065"/>
            <wp:wrapNone/>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r:embed="rId13"/>
                    <a:stretch>
                      <a:fillRect/>
                    </a:stretch>
                  </pic:blipFill>
                  <pic:spPr>
                    <a:xfrm>
                      <a:off x="0" y="0"/>
                      <a:ext cx="5277611" cy="1379219"/>
                    </a:xfrm>
                    <a:prstGeom prst="rect">
                      <a:avLst/>
                    </a:prstGeom>
                  </pic:spPr>
                </pic:pic>
              </a:graphicData>
            </a:graphic>
          </wp:anchor>
        </w:drawing>
      </w:r>
    </w:p>
    <w:p w14:paraId="673BCB67">
      <w:pPr>
        <w:kinsoku w:val="0"/>
        <w:autoSpaceDE w:val="0"/>
        <w:autoSpaceDN w:val="0"/>
        <w:adjustRightInd w:val="0"/>
        <w:snapToGrid w:val="0"/>
        <w:spacing w:line="240" w:lineRule="auto"/>
        <w:jc w:val="left"/>
        <w:textAlignment w:val="baseline"/>
        <w:rPr>
          <w:rFonts w:hint="eastAsia" w:ascii="宋体" w:hAnsi="宋体" w:eastAsia="宋体" w:cs="宋体"/>
          <w:snapToGrid w:val="0"/>
          <w:color w:val="auto"/>
          <w:spacing w:val="-10"/>
          <w:kern w:val="0"/>
          <w:sz w:val="28"/>
          <w:szCs w:val="28"/>
          <w:lang w:eastAsia="zh-CN"/>
        </w:rPr>
      </w:pPr>
    </w:p>
    <w:p w14:paraId="691CDA2A">
      <w:pPr>
        <w:kinsoku w:val="0"/>
        <w:autoSpaceDE w:val="0"/>
        <w:autoSpaceDN w:val="0"/>
        <w:adjustRightInd w:val="0"/>
        <w:snapToGrid w:val="0"/>
        <w:spacing w:line="240" w:lineRule="auto"/>
        <w:jc w:val="left"/>
        <w:textAlignment w:val="baseline"/>
        <w:rPr>
          <w:rFonts w:hint="eastAsia" w:ascii="宋体" w:hAnsi="宋体" w:eastAsia="宋体" w:cs="宋体"/>
          <w:snapToGrid w:val="0"/>
          <w:color w:val="auto"/>
          <w:spacing w:val="-10"/>
          <w:kern w:val="0"/>
          <w:sz w:val="28"/>
          <w:szCs w:val="28"/>
          <w:lang w:eastAsia="zh-CN"/>
        </w:rPr>
      </w:pPr>
    </w:p>
    <w:p w14:paraId="7144FAA7">
      <w:pPr>
        <w:kinsoku w:val="0"/>
        <w:autoSpaceDE w:val="0"/>
        <w:autoSpaceDN w:val="0"/>
        <w:adjustRightInd w:val="0"/>
        <w:snapToGrid w:val="0"/>
        <w:spacing w:line="240" w:lineRule="auto"/>
        <w:jc w:val="left"/>
        <w:textAlignment w:val="baseline"/>
        <w:rPr>
          <w:rFonts w:hint="eastAsia" w:ascii="宋体" w:hAnsi="宋体" w:eastAsia="宋体" w:cs="宋体"/>
          <w:snapToGrid w:val="0"/>
          <w:color w:val="auto"/>
          <w:spacing w:val="-10"/>
          <w:kern w:val="0"/>
          <w:sz w:val="28"/>
          <w:szCs w:val="28"/>
          <w:lang w:eastAsia="zh-CN"/>
        </w:rPr>
      </w:pPr>
    </w:p>
    <w:p w14:paraId="3635F6A8">
      <w:pPr>
        <w:kinsoku w:val="0"/>
        <w:autoSpaceDE w:val="0"/>
        <w:autoSpaceDN w:val="0"/>
        <w:adjustRightInd w:val="0"/>
        <w:snapToGrid w:val="0"/>
        <w:spacing w:line="240" w:lineRule="auto"/>
        <w:jc w:val="left"/>
        <w:textAlignment w:val="baseline"/>
        <w:rPr>
          <w:rFonts w:hint="eastAsia" w:ascii="宋体" w:hAnsi="宋体" w:eastAsia="宋体" w:cs="宋体"/>
          <w:snapToGrid w:val="0"/>
          <w:color w:val="auto"/>
          <w:spacing w:val="-10"/>
          <w:kern w:val="0"/>
          <w:sz w:val="28"/>
          <w:szCs w:val="28"/>
          <w:lang w:eastAsia="zh-CN"/>
        </w:rPr>
      </w:pPr>
    </w:p>
    <w:p w14:paraId="72596B22">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default" w:ascii="宋体" w:hAnsi="宋体" w:eastAsia="宋体" w:cs="宋体"/>
          <w:b/>
          <w:bCs/>
          <w:snapToGrid w:val="0"/>
          <w:color w:val="auto"/>
          <w:spacing w:val="-5"/>
          <w:kern w:val="0"/>
          <w:sz w:val="24"/>
          <w:szCs w:val="24"/>
        </w:rPr>
      </w:pPr>
    </w:p>
    <w:p w14:paraId="4F2356E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宋体" w:hAnsi="宋体" w:eastAsia="宋体" w:cs="宋体"/>
          <w:snapToGrid w:val="0"/>
          <w:color w:val="auto"/>
          <w:spacing w:val="-5"/>
          <w:kern w:val="0"/>
          <w:sz w:val="24"/>
          <w:szCs w:val="24"/>
        </w:rPr>
      </w:pPr>
      <w:r>
        <w:rPr>
          <w:rFonts w:hint="default" w:ascii="宋体" w:hAnsi="宋体" w:eastAsia="宋体" w:cs="宋体"/>
          <w:b/>
          <w:bCs/>
          <w:snapToGrid w:val="0"/>
          <w:color w:val="auto"/>
          <w:spacing w:val="-5"/>
          <w:kern w:val="0"/>
          <w:sz w:val="24"/>
          <w:szCs w:val="24"/>
        </w:rPr>
        <w:t>图 5.2</w:t>
      </w:r>
      <w:r>
        <w:rPr>
          <w:rFonts w:hint="eastAsia" w:ascii="宋体" w:hAnsi="宋体" w:eastAsia="宋体" w:cs="宋体"/>
          <w:b/>
          <w:bCs/>
          <w:snapToGrid w:val="0"/>
          <w:color w:val="auto"/>
          <w:spacing w:val="-5"/>
          <w:kern w:val="0"/>
          <w:sz w:val="24"/>
          <w:szCs w:val="24"/>
          <w:lang w:val="en-US" w:eastAsia="zh-CN"/>
        </w:rPr>
        <w:t>.2</w:t>
      </w:r>
      <w:r>
        <w:rPr>
          <w:rFonts w:hint="default" w:ascii="宋体" w:hAnsi="宋体" w:eastAsia="宋体" w:cs="宋体"/>
          <w:b/>
          <w:bCs/>
          <w:snapToGrid w:val="0"/>
          <w:color w:val="auto"/>
          <w:spacing w:val="-5"/>
          <w:kern w:val="0"/>
          <w:sz w:val="24"/>
          <w:szCs w:val="24"/>
        </w:rPr>
        <w:t>-1 尾矿坝现状正常运行渗流稳定计算简图</w:t>
      </w:r>
      <w:r>
        <w:rPr>
          <w:rFonts w:ascii="宋体" w:hAnsi="宋体" w:eastAsia="Arial" w:cs="宋体"/>
          <w:snapToGrid w:val="0"/>
          <w:color w:val="auto"/>
          <w:kern w:val="0"/>
          <w:sz w:val="21"/>
          <w:szCs w:val="20"/>
        </w:rPr>
        <w:drawing>
          <wp:anchor distT="0" distB="0" distL="0" distR="0" simplePos="0" relativeHeight="251661312" behindDoc="1" locked="0" layoutInCell="1" allowOverlap="1">
            <wp:simplePos x="0" y="0"/>
            <wp:positionH relativeFrom="column">
              <wp:posOffset>247650</wp:posOffset>
            </wp:positionH>
            <wp:positionV relativeFrom="paragraph">
              <wp:posOffset>197485</wp:posOffset>
            </wp:positionV>
            <wp:extent cx="5277485" cy="1378585"/>
            <wp:effectExtent l="0" t="0" r="18415" b="12065"/>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3"/>
                    <a:stretch>
                      <a:fillRect/>
                    </a:stretch>
                  </pic:blipFill>
                  <pic:spPr>
                    <a:xfrm>
                      <a:off x="0" y="0"/>
                      <a:ext cx="5277611" cy="1379219"/>
                    </a:xfrm>
                    <a:prstGeom prst="rect">
                      <a:avLst/>
                    </a:prstGeom>
                  </pic:spPr>
                </pic:pic>
              </a:graphicData>
            </a:graphic>
          </wp:anchor>
        </w:drawing>
      </w:r>
    </w:p>
    <w:p w14:paraId="6406F29D">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323C082C">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4F382C10">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54F5071D">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50FF2E3D">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46DF4509">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6641826B">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3C073A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556" w:firstLineChars="0"/>
        <w:jc w:val="center"/>
        <w:textAlignment w:val="baseline"/>
        <w:outlineLvl w:val="9"/>
        <w:rPr>
          <w:rFonts w:hint="default" w:ascii="宋体" w:hAnsi="宋体" w:eastAsia="宋体" w:cs="宋体"/>
          <w:b/>
          <w:bCs/>
          <w:snapToGrid w:val="0"/>
          <w:color w:val="auto"/>
          <w:spacing w:val="-5"/>
          <w:kern w:val="0"/>
          <w:sz w:val="24"/>
          <w:szCs w:val="24"/>
        </w:rPr>
      </w:pPr>
      <w:bookmarkStart w:id="168" w:name="_Toc2518"/>
      <w:bookmarkStart w:id="169" w:name="_Toc969"/>
      <w:r>
        <w:rPr>
          <w:rFonts w:hint="eastAsia" w:ascii="宋体" w:hAnsi="宋体" w:eastAsia="宋体" w:cs="宋体"/>
          <w:b/>
          <w:bCs/>
          <w:snapToGrid w:val="0"/>
          <w:color w:val="auto"/>
          <w:spacing w:val="6"/>
          <w:kern w:val="0"/>
          <w:sz w:val="24"/>
          <w:szCs w:val="24"/>
          <w:lang w:val="en-US" w:eastAsia="zh-CN"/>
        </w:rPr>
        <w:t xml:space="preserve">图 </w:t>
      </w:r>
      <w:r>
        <w:rPr>
          <w:rFonts w:hint="default" w:ascii="宋体" w:hAnsi="宋体" w:eastAsia="宋体" w:cs="宋体"/>
          <w:b/>
          <w:bCs/>
          <w:snapToGrid w:val="0"/>
          <w:color w:val="auto"/>
          <w:spacing w:val="6"/>
          <w:kern w:val="0"/>
          <w:sz w:val="24"/>
          <w:szCs w:val="24"/>
        </w:rPr>
        <w:t>5.2</w:t>
      </w:r>
      <w:r>
        <w:rPr>
          <w:rFonts w:hint="eastAsia" w:ascii="宋体" w:hAnsi="宋体" w:cs="宋体"/>
          <w:b/>
          <w:bCs/>
          <w:snapToGrid w:val="0"/>
          <w:color w:val="auto"/>
          <w:spacing w:val="6"/>
          <w:kern w:val="0"/>
          <w:sz w:val="24"/>
          <w:szCs w:val="24"/>
          <w:lang w:val="en-US" w:eastAsia="zh-CN"/>
        </w:rPr>
        <w:t>.2</w:t>
      </w:r>
      <w:r>
        <w:rPr>
          <w:rFonts w:hint="default" w:ascii="宋体" w:hAnsi="宋体" w:eastAsia="宋体" w:cs="宋体"/>
          <w:b/>
          <w:bCs/>
          <w:snapToGrid w:val="0"/>
          <w:color w:val="auto"/>
          <w:spacing w:val="6"/>
          <w:kern w:val="0"/>
          <w:sz w:val="24"/>
          <w:szCs w:val="24"/>
        </w:rPr>
        <w:t>-2 尾矿坝现状洪水运行渗流稳定计算简图</w:t>
      </w:r>
      <w:bookmarkEnd w:id="168"/>
      <w:bookmarkEnd w:id="169"/>
    </w:p>
    <w:p w14:paraId="510D5437">
      <w:pPr>
        <w:keepNext w:val="0"/>
        <w:keepLines w:val="0"/>
        <w:pageBreakBefore w:val="0"/>
        <w:widowControl w:val="0"/>
        <w:kinsoku w:val="0"/>
        <w:wordWrap/>
        <w:overflowPunct/>
        <w:topLinePunct w:val="0"/>
        <w:autoSpaceDE w:val="0"/>
        <w:autoSpaceDN w:val="0"/>
        <w:bidi w:val="0"/>
        <w:adjustRightInd w:val="0"/>
        <w:snapToGrid w:val="0"/>
        <w:spacing w:line="560" w:lineRule="exact"/>
        <w:ind w:right="0" w:firstLine="540" w:firstLineChars="200"/>
        <w:jc w:val="left"/>
        <w:textAlignment w:val="baseline"/>
        <w:rPr>
          <w:rFonts w:hint="default" w:ascii="Times New Roman" w:hAnsi="Times New Roman" w:eastAsia="宋体" w:cs="Times New Roman"/>
          <w:snapToGrid w:val="0"/>
          <w:color w:val="auto"/>
          <w:spacing w:val="10"/>
          <w:kern w:val="0"/>
          <w:sz w:val="28"/>
          <w:szCs w:val="28"/>
        </w:rPr>
      </w:pPr>
      <w:r>
        <w:rPr>
          <w:rFonts w:hint="default" w:ascii="Times New Roman" w:hAnsi="Times New Roman" w:eastAsia="宋体" w:cs="Times New Roman"/>
          <w:snapToGrid w:val="0"/>
          <w:color w:val="auto"/>
          <w:spacing w:val="-5"/>
          <w:kern w:val="0"/>
          <w:sz w:val="28"/>
          <w:szCs w:val="28"/>
        </w:rPr>
        <w:t>尾矿坝坝体稳定计算成果详见表 5.2</w:t>
      </w:r>
      <w:r>
        <w:rPr>
          <w:rFonts w:hint="default" w:ascii="Times New Roman" w:hAnsi="Times New Roman" w:cs="Times New Roman"/>
          <w:snapToGrid w:val="0"/>
          <w:color w:val="auto"/>
          <w:spacing w:val="-5"/>
          <w:kern w:val="0"/>
          <w:sz w:val="28"/>
          <w:szCs w:val="28"/>
          <w:lang w:val="en-US" w:eastAsia="zh-CN"/>
        </w:rPr>
        <w:t>.2</w:t>
      </w:r>
      <w:r>
        <w:rPr>
          <w:rFonts w:hint="default" w:ascii="Times New Roman" w:hAnsi="Times New Roman" w:eastAsia="宋体" w:cs="Times New Roman"/>
          <w:snapToGrid w:val="0"/>
          <w:color w:val="auto"/>
          <w:spacing w:val="-5"/>
          <w:kern w:val="0"/>
          <w:sz w:val="28"/>
          <w:szCs w:val="28"/>
        </w:rPr>
        <w:t>-4，滑弧位置及滑弧半径详见</w:t>
      </w:r>
      <w:r>
        <w:rPr>
          <w:rFonts w:hint="default" w:ascii="Times New Roman" w:hAnsi="Times New Roman" w:eastAsia="宋体" w:cs="Times New Roman"/>
          <w:snapToGrid w:val="0"/>
          <w:color w:val="auto"/>
          <w:spacing w:val="-1"/>
          <w:kern w:val="0"/>
          <w:sz w:val="28"/>
          <w:szCs w:val="28"/>
        </w:rPr>
        <w:t>图</w:t>
      </w:r>
      <w:r>
        <w:rPr>
          <w:rFonts w:hint="default" w:ascii="Times New Roman" w:hAnsi="Times New Roman" w:eastAsia="宋体" w:cs="Times New Roman"/>
          <w:snapToGrid w:val="0"/>
          <w:color w:val="auto"/>
          <w:kern w:val="0"/>
          <w:sz w:val="28"/>
          <w:szCs w:val="28"/>
        </w:rPr>
        <w:t xml:space="preserve"> </w:t>
      </w:r>
      <w:r>
        <w:rPr>
          <w:rFonts w:hint="default" w:ascii="Times New Roman" w:hAnsi="Times New Roman" w:eastAsia="宋体" w:cs="Times New Roman"/>
          <w:snapToGrid w:val="0"/>
          <w:color w:val="auto"/>
          <w:spacing w:val="16"/>
          <w:kern w:val="0"/>
          <w:sz w:val="28"/>
          <w:szCs w:val="28"/>
        </w:rPr>
        <w:t>5</w:t>
      </w:r>
      <w:r>
        <w:rPr>
          <w:rFonts w:hint="default" w:ascii="Times New Roman" w:hAnsi="Times New Roman" w:eastAsia="宋体" w:cs="Times New Roman"/>
          <w:snapToGrid w:val="0"/>
          <w:color w:val="auto"/>
          <w:spacing w:val="10"/>
          <w:kern w:val="0"/>
          <w:sz w:val="28"/>
          <w:szCs w:val="28"/>
        </w:rPr>
        <w:t>.2</w:t>
      </w:r>
      <w:r>
        <w:rPr>
          <w:rFonts w:hint="default" w:ascii="Times New Roman" w:hAnsi="Times New Roman" w:cs="Times New Roman"/>
          <w:snapToGrid w:val="0"/>
          <w:color w:val="auto"/>
          <w:spacing w:val="10"/>
          <w:kern w:val="0"/>
          <w:sz w:val="28"/>
          <w:szCs w:val="28"/>
          <w:lang w:val="en-US" w:eastAsia="zh-CN"/>
        </w:rPr>
        <w:t>.2</w:t>
      </w:r>
      <w:r>
        <w:rPr>
          <w:rFonts w:hint="default" w:ascii="Times New Roman" w:hAnsi="Times New Roman" w:eastAsia="宋体" w:cs="Times New Roman"/>
          <w:snapToGrid w:val="0"/>
          <w:color w:val="auto"/>
          <w:spacing w:val="10"/>
          <w:kern w:val="0"/>
          <w:sz w:val="28"/>
          <w:szCs w:val="28"/>
        </w:rPr>
        <w:t>-3～5.2</w:t>
      </w:r>
      <w:r>
        <w:rPr>
          <w:rFonts w:hint="default" w:ascii="Times New Roman" w:hAnsi="Times New Roman" w:cs="Times New Roman"/>
          <w:snapToGrid w:val="0"/>
          <w:color w:val="auto"/>
          <w:spacing w:val="10"/>
          <w:kern w:val="0"/>
          <w:sz w:val="28"/>
          <w:szCs w:val="28"/>
          <w:lang w:val="en-US" w:eastAsia="zh-CN"/>
        </w:rPr>
        <w:t>.2</w:t>
      </w:r>
      <w:r>
        <w:rPr>
          <w:rFonts w:hint="default" w:ascii="Times New Roman" w:hAnsi="Times New Roman" w:eastAsia="宋体" w:cs="Times New Roman"/>
          <w:snapToGrid w:val="0"/>
          <w:color w:val="auto"/>
          <w:spacing w:val="10"/>
          <w:kern w:val="0"/>
          <w:sz w:val="28"/>
          <w:szCs w:val="28"/>
        </w:rPr>
        <w:t>-5。</w:t>
      </w:r>
    </w:p>
    <w:p w14:paraId="4E75A55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Arial" w:hAnsi="Arial" w:eastAsia="Arial" w:cs="Arial"/>
          <w:snapToGrid w:val="0"/>
          <w:color w:val="auto"/>
          <w:kern w:val="0"/>
          <w:szCs w:val="21"/>
        </w:rPr>
      </w:pPr>
      <w:r>
        <w:rPr>
          <w:rFonts w:hint="eastAsia"/>
        </w:rPr>
        <w:t>表 5.2</w:t>
      </w:r>
      <w:r>
        <w:rPr>
          <w:rFonts w:hint="eastAsia"/>
          <w:lang w:val="en-US" w:eastAsia="zh-CN"/>
        </w:rPr>
        <w:t>.2</w:t>
      </w:r>
      <w:r>
        <w:rPr>
          <w:rFonts w:hint="eastAsia"/>
        </w:rPr>
        <w:t xml:space="preserve">-4 </w:t>
      </w:r>
      <w:r>
        <w:rPr>
          <w:rFonts w:hint="eastAsia"/>
          <w:lang w:val="en-US" w:eastAsia="zh-CN"/>
        </w:rPr>
        <w:t xml:space="preserve"> </w:t>
      </w:r>
      <w:r>
        <w:rPr>
          <w:rFonts w:hint="eastAsia"/>
        </w:rPr>
        <w:t>尾矿坝稳定计算成果</w:t>
      </w:r>
    </w:p>
    <w:tbl>
      <w:tblPr>
        <w:tblStyle w:val="27"/>
        <w:tblW w:w="890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27"/>
        <w:gridCol w:w="2657"/>
        <w:gridCol w:w="2657"/>
        <w:gridCol w:w="2261"/>
      </w:tblGrid>
      <w:tr w14:paraId="1058A8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8" w:hRule="atLeast"/>
        </w:trPr>
        <w:tc>
          <w:tcPr>
            <w:tcW w:w="1327" w:type="dxa"/>
            <w:vAlign w:val="top"/>
          </w:tcPr>
          <w:p w14:paraId="19469BD0">
            <w:pPr>
              <w:keepNext w:val="0"/>
              <w:keepLines w:val="0"/>
              <w:pageBreakBefore w:val="0"/>
              <w:widowControl/>
              <w:kinsoku w:val="0"/>
              <w:wordWrap/>
              <w:overflowPunct/>
              <w:topLinePunct w:val="0"/>
              <w:autoSpaceDE w:val="0"/>
              <w:autoSpaceDN w:val="0"/>
              <w:bidi w:val="0"/>
              <w:adjustRightInd w:val="0"/>
              <w:snapToGrid w:val="0"/>
              <w:spacing w:before="271" w:line="228" w:lineRule="auto"/>
              <w:ind w:left="249" w:firstLine="0" w:firstLineChars="0"/>
              <w:jc w:val="left"/>
              <w:textAlignment w:val="baseline"/>
              <w:rPr>
                <w:rFonts w:ascii="宋体" w:hAnsi="宋体" w:eastAsia="宋体" w:cs="宋体"/>
                <w:snapToGrid w:val="0"/>
                <w:color w:val="auto"/>
                <w:kern w:val="0"/>
                <w:sz w:val="20"/>
                <w:szCs w:val="20"/>
              </w:rPr>
            </w:pPr>
            <w:r>
              <w:rPr>
                <w:rFonts w:ascii="宋体" w:hAnsi="宋体" w:eastAsia="宋体" w:cs="宋体"/>
                <w:snapToGrid w:val="0"/>
                <w:color w:val="auto"/>
                <w:spacing w:val="8"/>
                <w:kern w:val="0"/>
                <w:sz w:val="20"/>
                <w:szCs w:val="20"/>
              </w:rPr>
              <w:t>计</w:t>
            </w:r>
            <w:r>
              <w:rPr>
                <w:rFonts w:ascii="宋体" w:hAnsi="宋体" w:eastAsia="宋体" w:cs="宋体"/>
                <w:snapToGrid w:val="0"/>
                <w:color w:val="auto"/>
                <w:spacing w:val="7"/>
                <w:kern w:val="0"/>
                <w:sz w:val="20"/>
                <w:szCs w:val="20"/>
              </w:rPr>
              <w:t>算方法</w:t>
            </w:r>
          </w:p>
        </w:tc>
        <w:tc>
          <w:tcPr>
            <w:tcW w:w="2657" w:type="dxa"/>
            <w:vAlign w:val="top"/>
          </w:tcPr>
          <w:p w14:paraId="75466695">
            <w:pPr>
              <w:keepNext w:val="0"/>
              <w:keepLines w:val="0"/>
              <w:pageBreakBefore w:val="0"/>
              <w:widowControl/>
              <w:kinsoku w:val="0"/>
              <w:wordWrap/>
              <w:overflowPunct/>
              <w:topLinePunct w:val="0"/>
              <w:autoSpaceDE w:val="0"/>
              <w:autoSpaceDN w:val="0"/>
              <w:bidi w:val="0"/>
              <w:adjustRightInd w:val="0"/>
              <w:snapToGrid w:val="0"/>
              <w:spacing w:before="271" w:line="228" w:lineRule="auto"/>
              <w:ind w:left="0" w:leftChars="0" w:firstLine="0" w:firstLineChars="0"/>
              <w:jc w:val="center"/>
              <w:textAlignment w:val="baseline"/>
              <w:rPr>
                <w:rFonts w:ascii="宋体" w:hAnsi="宋体" w:eastAsia="宋体" w:cs="宋体"/>
                <w:snapToGrid w:val="0"/>
                <w:color w:val="auto"/>
                <w:kern w:val="0"/>
                <w:sz w:val="20"/>
                <w:szCs w:val="20"/>
              </w:rPr>
            </w:pPr>
            <w:r>
              <w:rPr>
                <w:rFonts w:ascii="宋体" w:hAnsi="宋体" w:eastAsia="宋体" w:cs="宋体"/>
                <w:snapToGrid w:val="0"/>
                <w:color w:val="auto"/>
                <w:spacing w:val="4"/>
                <w:kern w:val="0"/>
                <w:sz w:val="20"/>
                <w:szCs w:val="20"/>
              </w:rPr>
              <w:t>现</w:t>
            </w:r>
            <w:r>
              <w:rPr>
                <w:rFonts w:ascii="宋体" w:hAnsi="宋体" w:eastAsia="宋体" w:cs="宋体"/>
                <w:snapToGrid w:val="0"/>
                <w:color w:val="auto"/>
                <w:spacing w:val="3"/>
                <w:kern w:val="0"/>
                <w:sz w:val="20"/>
                <w:szCs w:val="20"/>
              </w:rPr>
              <w:t>状</w:t>
            </w:r>
          </w:p>
        </w:tc>
        <w:tc>
          <w:tcPr>
            <w:tcW w:w="2657" w:type="dxa"/>
            <w:vAlign w:val="top"/>
          </w:tcPr>
          <w:p w14:paraId="478FE15D">
            <w:pPr>
              <w:keepNext w:val="0"/>
              <w:keepLines w:val="0"/>
              <w:pageBreakBefore w:val="0"/>
              <w:widowControl/>
              <w:kinsoku w:val="0"/>
              <w:wordWrap/>
              <w:overflowPunct/>
              <w:topLinePunct w:val="0"/>
              <w:autoSpaceDE w:val="0"/>
              <w:autoSpaceDN w:val="0"/>
              <w:bidi w:val="0"/>
              <w:adjustRightInd w:val="0"/>
              <w:snapToGrid w:val="0"/>
              <w:spacing w:before="271" w:line="228" w:lineRule="auto"/>
              <w:ind w:left="0" w:leftChars="0" w:firstLine="0" w:firstLineChars="0"/>
              <w:jc w:val="center"/>
              <w:textAlignment w:val="baseline"/>
              <w:rPr>
                <w:rFonts w:ascii="宋体" w:hAnsi="宋体" w:eastAsia="宋体" w:cs="宋体"/>
                <w:snapToGrid w:val="0"/>
                <w:color w:val="auto"/>
                <w:kern w:val="0"/>
                <w:sz w:val="20"/>
                <w:szCs w:val="20"/>
              </w:rPr>
            </w:pPr>
            <w:r>
              <w:rPr>
                <w:rFonts w:ascii="宋体" w:hAnsi="宋体" w:eastAsia="宋体" w:cs="宋体"/>
                <w:snapToGrid w:val="0"/>
                <w:color w:val="auto"/>
                <w:spacing w:val="4"/>
                <w:kern w:val="0"/>
                <w:sz w:val="20"/>
                <w:szCs w:val="20"/>
              </w:rPr>
              <w:t>现</w:t>
            </w:r>
            <w:r>
              <w:rPr>
                <w:rFonts w:ascii="宋体" w:hAnsi="宋体" w:eastAsia="宋体" w:cs="宋体"/>
                <w:snapToGrid w:val="0"/>
                <w:color w:val="auto"/>
                <w:spacing w:val="3"/>
                <w:kern w:val="0"/>
                <w:sz w:val="20"/>
                <w:szCs w:val="20"/>
              </w:rPr>
              <w:t>状</w:t>
            </w:r>
          </w:p>
        </w:tc>
        <w:tc>
          <w:tcPr>
            <w:tcW w:w="2261" w:type="dxa"/>
            <w:vAlign w:val="top"/>
          </w:tcPr>
          <w:p w14:paraId="26EA181D">
            <w:pPr>
              <w:keepNext w:val="0"/>
              <w:keepLines w:val="0"/>
              <w:pageBreakBefore w:val="0"/>
              <w:widowControl/>
              <w:kinsoku w:val="0"/>
              <w:wordWrap/>
              <w:overflowPunct/>
              <w:topLinePunct w:val="0"/>
              <w:autoSpaceDE w:val="0"/>
              <w:autoSpaceDN w:val="0"/>
              <w:bidi w:val="0"/>
              <w:adjustRightInd w:val="0"/>
              <w:snapToGrid w:val="0"/>
              <w:spacing w:before="271" w:line="228" w:lineRule="auto"/>
              <w:ind w:left="0" w:leftChars="0" w:firstLine="0" w:firstLineChars="0"/>
              <w:jc w:val="center"/>
              <w:textAlignment w:val="baseline"/>
              <w:rPr>
                <w:rFonts w:ascii="宋体" w:hAnsi="宋体" w:eastAsia="宋体" w:cs="宋体"/>
                <w:snapToGrid w:val="0"/>
                <w:color w:val="auto"/>
                <w:kern w:val="0"/>
                <w:sz w:val="20"/>
                <w:szCs w:val="20"/>
              </w:rPr>
            </w:pPr>
            <w:r>
              <w:rPr>
                <w:rFonts w:ascii="宋体" w:hAnsi="宋体" w:eastAsia="宋体" w:cs="宋体"/>
                <w:snapToGrid w:val="0"/>
                <w:color w:val="auto"/>
                <w:spacing w:val="4"/>
                <w:kern w:val="0"/>
                <w:sz w:val="20"/>
                <w:szCs w:val="20"/>
              </w:rPr>
              <w:t>现</w:t>
            </w:r>
            <w:r>
              <w:rPr>
                <w:rFonts w:ascii="宋体" w:hAnsi="宋体" w:eastAsia="宋体" w:cs="宋体"/>
                <w:snapToGrid w:val="0"/>
                <w:color w:val="auto"/>
                <w:spacing w:val="3"/>
                <w:kern w:val="0"/>
                <w:sz w:val="20"/>
                <w:szCs w:val="20"/>
              </w:rPr>
              <w:t>状</w:t>
            </w:r>
          </w:p>
        </w:tc>
      </w:tr>
      <w:tr w14:paraId="06B4B7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1327" w:type="dxa"/>
            <w:vAlign w:val="top"/>
          </w:tcPr>
          <w:p w14:paraId="1B1C1A4B">
            <w:pPr>
              <w:keepNext w:val="0"/>
              <w:keepLines w:val="0"/>
              <w:pageBreakBefore w:val="0"/>
              <w:widowControl/>
              <w:kinsoku w:val="0"/>
              <w:wordWrap/>
              <w:overflowPunct/>
              <w:topLinePunct w:val="0"/>
              <w:autoSpaceDE w:val="0"/>
              <w:autoSpaceDN w:val="0"/>
              <w:bidi w:val="0"/>
              <w:adjustRightInd w:val="0"/>
              <w:snapToGrid w:val="0"/>
              <w:spacing w:before="270" w:line="228" w:lineRule="auto"/>
              <w:ind w:left="251" w:firstLine="0" w:firstLineChars="0"/>
              <w:jc w:val="left"/>
              <w:textAlignment w:val="baseline"/>
              <w:rPr>
                <w:rFonts w:ascii="宋体" w:hAnsi="宋体" w:eastAsia="宋体" w:cs="宋体"/>
                <w:snapToGrid w:val="0"/>
                <w:color w:val="auto"/>
                <w:kern w:val="0"/>
                <w:sz w:val="20"/>
                <w:szCs w:val="20"/>
              </w:rPr>
            </w:pPr>
            <w:r>
              <w:rPr>
                <w:rFonts w:ascii="宋体" w:hAnsi="宋体" w:eastAsia="宋体" w:cs="宋体"/>
                <w:snapToGrid w:val="0"/>
                <w:color w:val="auto"/>
                <w:spacing w:val="9"/>
                <w:kern w:val="0"/>
                <w:sz w:val="20"/>
                <w:szCs w:val="20"/>
              </w:rPr>
              <w:t>工</w:t>
            </w:r>
            <w:r>
              <w:rPr>
                <w:rFonts w:ascii="宋体" w:hAnsi="宋体" w:eastAsia="宋体" w:cs="宋体"/>
                <w:snapToGrid w:val="0"/>
                <w:color w:val="auto"/>
                <w:spacing w:val="6"/>
                <w:kern w:val="0"/>
                <w:sz w:val="20"/>
                <w:szCs w:val="20"/>
              </w:rPr>
              <w:t>作状况</w:t>
            </w:r>
          </w:p>
        </w:tc>
        <w:tc>
          <w:tcPr>
            <w:tcW w:w="2657" w:type="dxa"/>
            <w:vAlign w:val="top"/>
          </w:tcPr>
          <w:p w14:paraId="2082CBEB">
            <w:pPr>
              <w:keepNext w:val="0"/>
              <w:keepLines w:val="0"/>
              <w:pageBreakBefore w:val="0"/>
              <w:widowControl/>
              <w:kinsoku w:val="0"/>
              <w:wordWrap/>
              <w:overflowPunct/>
              <w:topLinePunct w:val="0"/>
              <w:autoSpaceDE w:val="0"/>
              <w:autoSpaceDN w:val="0"/>
              <w:bidi w:val="0"/>
              <w:adjustRightInd w:val="0"/>
              <w:snapToGrid w:val="0"/>
              <w:spacing w:before="270" w:line="228" w:lineRule="auto"/>
              <w:ind w:left="0" w:leftChars="0" w:firstLine="0" w:firstLineChars="0"/>
              <w:jc w:val="center"/>
              <w:textAlignment w:val="baseline"/>
              <w:rPr>
                <w:rFonts w:ascii="宋体" w:hAnsi="宋体" w:eastAsia="宋体" w:cs="宋体"/>
                <w:snapToGrid w:val="0"/>
                <w:color w:val="auto"/>
                <w:kern w:val="0"/>
                <w:sz w:val="20"/>
                <w:szCs w:val="20"/>
              </w:rPr>
            </w:pPr>
            <w:r>
              <w:rPr>
                <w:rFonts w:ascii="宋体" w:hAnsi="宋体" w:eastAsia="宋体" w:cs="宋体"/>
                <w:snapToGrid w:val="0"/>
                <w:color w:val="auto"/>
                <w:spacing w:val="7"/>
                <w:kern w:val="0"/>
                <w:sz w:val="20"/>
                <w:szCs w:val="20"/>
              </w:rPr>
              <w:t>正</w:t>
            </w:r>
            <w:r>
              <w:rPr>
                <w:rFonts w:ascii="宋体" w:hAnsi="宋体" w:eastAsia="宋体" w:cs="宋体"/>
                <w:snapToGrid w:val="0"/>
                <w:color w:val="auto"/>
                <w:spacing w:val="6"/>
                <w:kern w:val="0"/>
                <w:sz w:val="20"/>
                <w:szCs w:val="20"/>
              </w:rPr>
              <w:t>常运行</w:t>
            </w:r>
          </w:p>
        </w:tc>
        <w:tc>
          <w:tcPr>
            <w:tcW w:w="2657" w:type="dxa"/>
            <w:vAlign w:val="top"/>
          </w:tcPr>
          <w:p w14:paraId="4AD7BC7A">
            <w:pPr>
              <w:keepNext w:val="0"/>
              <w:keepLines w:val="0"/>
              <w:pageBreakBefore w:val="0"/>
              <w:widowControl/>
              <w:kinsoku w:val="0"/>
              <w:wordWrap/>
              <w:overflowPunct/>
              <w:topLinePunct w:val="0"/>
              <w:autoSpaceDE w:val="0"/>
              <w:autoSpaceDN w:val="0"/>
              <w:bidi w:val="0"/>
              <w:adjustRightInd w:val="0"/>
              <w:snapToGrid w:val="0"/>
              <w:spacing w:before="270" w:line="228" w:lineRule="auto"/>
              <w:ind w:left="0" w:leftChars="0" w:firstLine="0" w:firstLineChars="0"/>
              <w:jc w:val="center"/>
              <w:textAlignment w:val="baseline"/>
              <w:rPr>
                <w:rFonts w:ascii="宋体" w:hAnsi="宋体" w:eastAsia="宋体" w:cs="宋体"/>
                <w:snapToGrid w:val="0"/>
                <w:color w:val="auto"/>
                <w:kern w:val="0"/>
                <w:sz w:val="20"/>
                <w:szCs w:val="20"/>
              </w:rPr>
            </w:pPr>
            <w:r>
              <w:rPr>
                <w:rFonts w:ascii="宋体" w:hAnsi="宋体" w:eastAsia="宋体" w:cs="宋体"/>
                <w:snapToGrid w:val="0"/>
                <w:color w:val="auto"/>
                <w:spacing w:val="7"/>
                <w:kern w:val="0"/>
                <w:sz w:val="20"/>
                <w:szCs w:val="20"/>
              </w:rPr>
              <w:t>洪水运</w:t>
            </w:r>
            <w:r>
              <w:rPr>
                <w:rFonts w:ascii="宋体" w:hAnsi="宋体" w:eastAsia="宋体" w:cs="宋体"/>
                <w:snapToGrid w:val="0"/>
                <w:color w:val="auto"/>
                <w:spacing w:val="6"/>
                <w:kern w:val="0"/>
                <w:sz w:val="20"/>
                <w:szCs w:val="20"/>
              </w:rPr>
              <w:t>行</w:t>
            </w:r>
          </w:p>
        </w:tc>
        <w:tc>
          <w:tcPr>
            <w:tcW w:w="2261" w:type="dxa"/>
            <w:vAlign w:val="top"/>
          </w:tcPr>
          <w:p w14:paraId="19EBBA3E">
            <w:pPr>
              <w:keepNext w:val="0"/>
              <w:keepLines w:val="0"/>
              <w:pageBreakBefore w:val="0"/>
              <w:widowControl/>
              <w:kinsoku w:val="0"/>
              <w:wordWrap/>
              <w:overflowPunct/>
              <w:topLinePunct w:val="0"/>
              <w:autoSpaceDE w:val="0"/>
              <w:autoSpaceDN w:val="0"/>
              <w:bidi w:val="0"/>
              <w:adjustRightInd w:val="0"/>
              <w:snapToGrid w:val="0"/>
              <w:spacing w:before="270" w:line="228" w:lineRule="auto"/>
              <w:ind w:left="0" w:leftChars="0" w:firstLine="0" w:firstLineChars="0"/>
              <w:jc w:val="center"/>
              <w:textAlignment w:val="baseline"/>
              <w:rPr>
                <w:rFonts w:ascii="宋体" w:hAnsi="宋体" w:eastAsia="宋体" w:cs="宋体"/>
                <w:snapToGrid w:val="0"/>
                <w:color w:val="auto"/>
                <w:kern w:val="0"/>
                <w:sz w:val="20"/>
                <w:szCs w:val="20"/>
              </w:rPr>
            </w:pPr>
            <w:r>
              <w:rPr>
                <w:rFonts w:ascii="宋体" w:hAnsi="宋体" w:eastAsia="宋体" w:cs="宋体"/>
                <w:snapToGrid w:val="0"/>
                <w:color w:val="auto"/>
                <w:spacing w:val="8"/>
                <w:kern w:val="0"/>
                <w:sz w:val="20"/>
                <w:szCs w:val="20"/>
              </w:rPr>
              <w:t>特</w:t>
            </w:r>
            <w:r>
              <w:rPr>
                <w:rFonts w:ascii="宋体" w:hAnsi="宋体" w:eastAsia="宋体" w:cs="宋体"/>
                <w:snapToGrid w:val="0"/>
                <w:color w:val="auto"/>
                <w:spacing w:val="7"/>
                <w:kern w:val="0"/>
                <w:sz w:val="20"/>
                <w:szCs w:val="20"/>
              </w:rPr>
              <w:t>殊运行</w:t>
            </w:r>
          </w:p>
        </w:tc>
      </w:tr>
      <w:tr w14:paraId="4C937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1327" w:type="dxa"/>
            <w:vAlign w:val="top"/>
          </w:tcPr>
          <w:p w14:paraId="7C3F85C7">
            <w:pPr>
              <w:keepNext w:val="0"/>
              <w:keepLines w:val="0"/>
              <w:pageBreakBefore w:val="0"/>
              <w:widowControl/>
              <w:kinsoku w:val="0"/>
              <w:wordWrap/>
              <w:overflowPunct/>
              <w:topLinePunct w:val="0"/>
              <w:autoSpaceDE w:val="0"/>
              <w:autoSpaceDN w:val="0"/>
              <w:bidi w:val="0"/>
              <w:adjustRightInd w:val="0"/>
              <w:snapToGrid w:val="0"/>
              <w:spacing w:before="269" w:line="228" w:lineRule="auto"/>
              <w:ind w:left="249" w:firstLine="0" w:firstLineChars="0"/>
              <w:jc w:val="left"/>
              <w:textAlignment w:val="baseline"/>
              <w:rPr>
                <w:rFonts w:ascii="宋体" w:hAnsi="宋体" w:eastAsia="宋体" w:cs="宋体"/>
                <w:snapToGrid w:val="0"/>
                <w:color w:val="auto"/>
                <w:kern w:val="0"/>
                <w:sz w:val="20"/>
                <w:szCs w:val="20"/>
              </w:rPr>
            </w:pPr>
            <w:r>
              <w:rPr>
                <w:rFonts w:ascii="宋体" w:hAnsi="宋体" w:eastAsia="宋体" w:cs="宋体"/>
                <w:snapToGrid w:val="0"/>
                <w:color w:val="auto"/>
                <w:spacing w:val="6"/>
                <w:kern w:val="0"/>
                <w:sz w:val="20"/>
                <w:szCs w:val="20"/>
              </w:rPr>
              <w:t xml:space="preserve">计 算 </w:t>
            </w:r>
            <w:r>
              <w:rPr>
                <w:rFonts w:ascii="宋体" w:hAnsi="宋体" w:eastAsia="宋体" w:cs="宋体"/>
                <w:snapToGrid w:val="0"/>
                <w:color w:val="auto"/>
                <w:spacing w:val="5"/>
                <w:kern w:val="0"/>
                <w:sz w:val="20"/>
                <w:szCs w:val="20"/>
              </w:rPr>
              <w:t>值</w:t>
            </w:r>
          </w:p>
        </w:tc>
        <w:tc>
          <w:tcPr>
            <w:tcW w:w="2657" w:type="dxa"/>
            <w:vAlign w:val="top"/>
          </w:tcPr>
          <w:p w14:paraId="32DFD2D3">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jc w:val="center"/>
              <w:textAlignment w:val="baseline"/>
              <w:rPr>
                <w:rFonts w:ascii="Arial" w:hAnsi="Arial" w:eastAsia="Arial" w:cs="Arial"/>
                <w:snapToGrid w:val="0"/>
                <w:color w:val="auto"/>
                <w:kern w:val="0"/>
                <w:sz w:val="21"/>
                <w:szCs w:val="21"/>
              </w:rPr>
            </w:pPr>
          </w:p>
          <w:p w14:paraId="4F7C7A74">
            <w:pPr>
              <w:keepNext w:val="0"/>
              <w:keepLines w:val="0"/>
              <w:pageBreakBefore w:val="0"/>
              <w:widowControl/>
              <w:kinsoku w:val="0"/>
              <w:wordWrap/>
              <w:overflowPunct/>
              <w:topLinePunct w:val="0"/>
              <w:autoSpaceDE w:val="0"/>
              <w:autoSpaceDN w:val="0"/>
              <w:bidi w:val="0"/>
              <w:adjustRightInd w:val="0"/>
              <w:snapToGrid w:val="0"/>
              <w:spacing w:before="57" w:line="198" w:lineRule="auto"/>
              <w:ind w:left="0" w:leftChars="0" w:firstLine="0" w:firstLineChars="0"/>
              <w:jc w:val="center"/>
              <w:textAlignment w:val="baseline"/>
              <w:rPr>
                <w:rFonts w:ascii="Times New Roman" w:hAnsi="Times New Roman" w:eastAsia="Times New Roman" w:cs="Times New Roman"/>
                <w:snapToGrid w:val="0"/>
                <w:color w:val="auto"/>
                <w:kern w:val="0"/>
                <w:sz w:val="20"/>
                <w:szCs w:val="20"/>
              </w:rPr>
            </w:pPr>
            <w:r>
              <w:rPr>
                <w:rFonts w:ascii="Times New Roman" w:hAnsi="Times New Roman" w:eastAsia="Times New Roman" w:cs="Times New Roman"/>
                <w:snapToGrid w:val="0"/>
                <w:color w:val="auto"/>
                <w:spacing w:val="-1"/>
                <w:kern w:val="0"/>
                <w:sz w:val="20"/>
                <w:szCs w:val="20"/>
              </w:rPr>
              <w:t>1.2</w:t>
            </w:r>
            <w:r>
              <w:rPr>
                <w:rFonts w:ascii="Times New Roman" w:hAnsi="Times New Roman" w:eastAsia="Times New Roman" w:cs="Times New Roman"/>
                <w:snapToGrid w:val="0"/>
                <w:color w:val="auto"/>
                <w:kern w:val="0"/>
                <w:sz w:val="20"/>
                <w:szCs w:val="20"/>
              </w:rPr>
              <w:t>79</w:t>
            </w:r>
          </w:p>
        </w:tc>
        <w:tc>
          <w:tcPr>
            <w:tcW w:w="2657" w:type="dxa"/>
            <w:vAlign w:val="top"/>
          </w:tcPr>
          <w:p w14:paraId="7F1C0829">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jc w:val="center"/>
              <w:textAlignment w:val="baseline"/>
              <w:rPr>
                <w:rFonts w:ascii="Arial" w:hAnsi="Arial" w:eastAsia="Arial" w:cs="Arial"/>
                <w:snapToGrid w:val="0"/>
                <w:color w:val="auto"/>
                <w:kern w:val="0"/>
                <w:sz w:val="21"/>
                <w:szCs w:val="21"/>
              </w:rPr>
            </w:pPr>
          </w:p>
          <w:p w14:paraId="12DB9BE9">
            <w:pPr>
              <w:keepNext w:val="0"/>
              <w:keepLines w:val="0"/>
              <w:pageBreakBefore w:val="0"/>
              <w:widowControl/>
              <w:kinsoku w:val="0"/>
              <w:wordWrap/>
              <w:overflowPunct/>
              <w:topLinePunct w:val="0"/>
              <w:autoSpaceDE w:val="0"/>
              <w:autoSpaceDN w:val="0"/>
              <w:bidi w:val="0"/>
              <w:adjustRightInd w:val="0"/>
              <w:snapToGrid w:val="0"/>
              <w:spacing w:before="57" w:line="198" w:lineRule="auto"/>
              <w:ind w:left="0" w:leftChars="0" w:firstLine="0" w:firstLineChars="0"/>
              <w:jc w:val="center"/>
              <w:textAlignment w:val="baseline"/>
              <w:rPr>
                <w:rFonts w:ascii="Times New Roman" w:hAnsi="Times New Roman" w:eastAsia="Times New Roman" w:cs="Times New Roman"/>
                <w:snapToGrid w:val="0"/>
                <w:color w:val="auto"/>
                <w:kern w:val="0"/>
                <w:sz w:val="20"/>
                <w:szCs w:val="20"/>
              </w:rPr>
            </w:pPr>
            <w:r>
              <w:rPr>
                <w:rFonts w:ascii="Times New Roman" w:hAnsi="Times New Roman" w:eastAsia="Times New Roman" w:cs="Times New Roman"/>
                <w:snapToGrid w:val="0"/>
                <w:color w:val="auto"/>
                <w:spacing w:val="-1"/>
                <w:kern w:val="0"/>
                <w:sz w:val="20"/>
                <w:szCs w:val="20"/>
              </w:rPr>
              <w:t>1</w:t>
            </w:r>
            <w:r>
              <w:rPr>
                <w:rFonts w:ascii="Times New Roman" w:hAnsi="Times New Roman" w:eastAsia="Times New Roman" w:cs="Times New Roman"/>
                <w:snapToGrid w:val="0"/>
                <w:color w:val="auto"/>
                <w:kern w:val="0"/>
                <w:sz w:val="20"/>
                <w:szCs w:val="20"/>
              </w:rPr>
              <w:t>.241</w:t>
            </w:r>
          </w:p>
        </w:tc>
        <w:tc>
          <w:tcPr>
            <w:tcW w:w="2261" w:type="dxa"/>
            <w:vAlign w:val="top"/>
          </w:tcPr>
          <w:p w14:paraId="4D6C2174">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jc w:val="center"/>
              <w:textAlignment w:val="baseline"/>
              <w:rPr>
                <w:rFonts w:ascii="Arial" w:hAnsi="Arial" w:eastAsia="Arial" w:cs="Arial"/>
                <w:snapToGrid w:val="0"/>
                <w:color w:val="auto"/>
                <w:kern w:val="0"/>
                <w:sz w:val="21"/>
                <w:szCs w:val="21"/>
              </w:rPr>
            </w:pPr>
          </w:p>
          <w:p w14:paraId="5C8BA996">
            <w:pPr>
              <w:keepNext w:val="0"/>
              <w:keepLines w:val="0"/>
              <w:pageBreakBefore w:val="0"/>
              <w:widowControl/>
              <w:kinsoku w:val="0"/>
              <w:wordWrap/>
              <w:overflowPunct/>
              <w:topLinePunct w:val="0"/>
              <w:autoSpaceDE w:val="0"/>
              <w:autoSpaceDN w:val="0"/>
              <w:bidi w:val="0"/>
              <w:adjustRightInd w:val="0"/>
              <w:snapToGrid w:val="0"/>
              <w:spacing w:before="57" w:line="198" w:lineRule="auto"/>
              <w:ind w:left="0" w:leftChars="0" w:firstLine="0" w:firstLineChars="0"/>
              <w:jc w:val="center"/>
              <w:textAlignment w:val="baseline"/>
              <w:rPr>
                <w:rFonts w:ascii="Times New Roman" w:hAnsi="Times New Roman" w:eastAsia="Times New Roman" w:cs="Times New Roman"/>
                <w:snapToGrid w:val="0"/>
                <w:color w:val="auto"/>
                <w:kern w:val="0"/>
                <w:sz w:val="20"/>
                <w:szCs w:val="20"/>
              </w:rPr>
            </w:pPr>
            <w:r>
              <w:rPr>
                <w:rFonts w:ascii="Times New Roman" w:hAnsi="Times New Roman" w:eastAsia="Times New Roman" w:cs="Times New Roman"/>
                <w:snapToGrid w:val="0"/>
                <w:color w:val="auto"/>
                <w:spacing w:val="-1"/>
                <w:kern w:val="0"/>
                <w:sz w:val="20"/>
                <w:szCs w:val="20"/>
              </w:rPr>
              <w:t>1.2</w:t>
            </w:r>
            <w:r>
              <w:rPr>
                <w:rFonts w:ascii="Times New Roman" w:hAnsi="Times New Roman" w:eastAsia="Times New Roman" w:cs="Times New Roman"/>
                <w:snapToGrid w:val="0"/>
                <w:color w:val="auto"/>
                <w:kern w:val="0"/>
                <w:sz w:val="20"/>
                <w:szCs w:val="20"/>
              </w:rPr>
              <w:t>10</w:t>
            </w:r>
          </w:p>
        </w:tc>
      </w:tr>
      <w:tr w14:paraId="006A30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1327" w:type="dxa"/>
            <w:vAlign w:val="top"/>
          </w:tcPr>
          <w:p w14:paraId="48CCB009">
            <w:pPr>
              <w:keepNext w:val="0"/>
              <w:keepLines w:val="0"/>
              <w:pageBreakBefore w:val="0"/>
              <w:widowControl/>
              <w:kinsoku w:val="0"/>
              <w:wordWrap/>
              <w:overflowPunct/>
              <w:topLinePunct w:val="0"/>
              <w:autoSpaceDE w:val="0"/>
              <w:autoSpaceDN w:val="0"/>
              <w:bidi w:val="0"/>
              <w:adjustRightInd w:val="0"/>
              <w:snapToGrid w:val="0"/>
              <w:spacing w:before="272" w:line="228" w:lineRule="auto"/>
              <w:ind w:left="250" w:firstLine="0" w:firstLineChars="0"/>
              <w:jc w:val="left"/>
              <w:textAlignment w:val="baseline"/>
              <w:rPr>
                <w:rFonts w:ascii="宋体" w:hAnsi="宋体" w:eastAsia="宋体" w:cs="宋体"/>
                <w:snapToGrid w:val="0"/>
                <w:color w:val="auto"/>
                <w:kern w:val="0"/>
                <w:sz w:val="20"/>
                <w:szCs w:val="20"/>
              </w:rPr>
            </w:pPr>
            <w:r>
              <w:rPr>
                <w:rFonts w:ascii="宋体" w:hAnsi="宋体" w:eastAsia="宋体" w:cs="宋体"/>
                <w:snapToGrid w:val="0"/>
                <w:color w:val="auto"/>
                <w:spacing w:val="8"/>
                <w:kern w:val="0"/>
                <w:sz w:val="20"/>
                <w:szCs w:val="20"/>
              </w:rPr>
              <w:t>规</w:t>
            </w:r>
            <w:r>
              <w:rPr>
                <w:rFonts w:ascii="宋体" w:hAnsi="宋体" w:eastAsia="宋体" w:cs="宋体"/>
                <w:snapToGrid w:val="0"/>
                <w:color w:val="auto"/>
                <w:spacing w:val="5"/>
                <w:kern w:val="0"/>
                <w:sz w:val="20"/>
                <w:szCs w:val="20"/>
              </w:rPr>
              <w:t xml:space="preserve"> 范 值</w:t>
            </w:r>
          </w:p>
        </w:tc>
        <w:tc>
          <w:tcPr>
            <w:tcW w:w="2657" w:type="dxa"/>
            <w:vAlign w:val="top"/>
          </w:tcPr>
          <w:p w14:paraId="5A9D52F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Arial" w:hAnsi="Arial" w:eastAsia="Arial" w:cs="Arial"/>
                <w:snapToGrid w:val="0"/>
                <w:color w:val="auto"/>
                <w:kern w:val="0"/>
                <w:sz w:val="21"/>
                <w:szCs w:val="21"/>
              </w:rPr>
            </w:pPr>
          </w:p>
          <w:p w14:paraId="4D7CF533">
            <w:pPr>
              <w:keepNext w:val="0"/>
              <w:keepLines w:val="0"/>
              <w:pageBreakBefore w:val="0"/>
              <w:widowControl/>
              <w:kinsoku w:val="0"/>
              <w:wordWrap/>
              <w:overflowPunct/>
              <w:topLinePunct w:val="0"/>
              <w:autoSpaceDE w:val="0"/>
              <w:autoSpaceDN w:val="0"/>
              <w:bidi w:val="0"/>
              <w:adjustRightInd w:val="0"/>
              <w:snapToGrid w:val="0"/>
              <w:spacing w:before="58" w:line="195" w:lineRule="auto"/>
              <w:ind w:left="0" w:leftChars="0" w:firstLine="0" w:firstLineChars="0"/>
              <w:jc w:val="center"/>
              <w:textAlignment w:val="baseline"/>
              <w:rPr>
                <w:rFonts w:ascii="Times New Roman" w:hAnsi="Times New Roman" w:eastAsia="Times New Roman" w:cs="Times New Roman"/>
                <w:snapToGrid w:val="0"/>
                <w:color w:val="auto"/>
                <w:kern w:val="0"/>
                <w:sz w:val="20"/>
                <w:szCs w:val="20"/>
              </w:rPr>
            </w:pPr>
            <w:r>
              <w:rPr>
                <w:rFonts w:ascii="Times New Roman" w:hAnsi="Times New Roman" w:eastAsia="Times New Roman" w:cs="Times New Roman"/>
                <w:snapToGrid w:val="0"/>
                <w:color w:val="auto"/>
                <w:spacing w:val="-12"/>
                <w:kern w:val="0"/>
                <w:sz w:val="20"/>
                <w:szCs w:val="20"/>
              </w:rPr>
              <w:t>1</w:t>
            </w:r>
            <w:r>
              <w:rPr>
                <w:rFonts w:ascii="Times New Roman" w:hAnsi="Times New Roman" w:eastAsia="Times New Roman" w:cs="Times New Roman"/>
                <w:snapToGrid w:val="0"/>
                <w:color w:val="auto"/>
                <w:spacing w:val="-11"/>
                <w:kern w:val="0"/>
                <w:sz w:val="20"/>
                <w:szCs w:val="20"/>
              </w:rPr>
              <w:t>. 15</w:t>
            </w:r>
          </w:p>
        </w:tc>
        <w:tc>
          <w:tcPr>
            <w:tcW w:w="2657" w:type="dxa"/>
            <w:vAlign w:val="top"/>
          </w:tcPr>
          <w:p w14:paraId="26B25D1C">
            <w:pPr>
              <w:keepNext w:val="0"/>
              <w:keepLines w:val="0"/>
              <w:pageBreakBefore w:val="0"/>
              <w:widowControl/>
              <w:kinsoku w:val="0"/>
              <w:wordWrap/>
              <w:overflowPunct/>
              <w:topLinePunct w:val="0"/>
              <w:autoSpaceDE w:val="0"/>
              <w:autoSpaceDN w:val="0"/>
              <w:bidi w:val="0"/>
              <w:adjustRightInd w:val="0"/>
              <w:snapToGrid w:val="0"/>
              <w:spacing w:line="249" w:lineRule="auto"/>
              <w:ind w:firstLine="0" w:firstLineChars="0"/>
              <w:jc w:val="center"/>
              <w:textAlignment w:val="baseline"/>
              <w:rPr>
                <w:rFonts w:ascii="Arial" w:hAnsi="Arial" w:eastAsia="Arial" w:cs="Arial"/>
                <w:snapToGrid w:val="0"/>
                <w:color w:val="auto"/>
                <w:kern w:val="0"/>
                <w:sz w:val="21"/>
                <w:szCs w:val="21"/>
              </w:rPr>
            </w:pPr>
          </w:p>
          <w:p w14:paraId="528DF2D3">
            <w:pPr>
              <w:keepNext w:val="0"/>
              <w:keepLines w:val="0"/>
              <w:pageBreakBefore w:val="0"/>
              <w:widowControl/>
              <w:kinsoku w:val="0"/>
              <w:wordWrap/>
              <w:overflowPunct/>
              <w:topLinePunct w:val="0"/>
              <w:autoSpaceDE w:val="0"/>
              <w:autoSpaceDN w:val="0"/>
              <w:bidi w:val="0"/>
              <w:adjustRightInd w:val="0"/>
              <w:snapToGrid w:val="0"/>
              <w:spacing w:before="57" w:line="198" w:lineRule="auto"/>
              <w:ind w:left="0" w:leftChars="0" w:firstLine="0" w:firstLineChars="0"/>
              <w:jc w:val="center"/>
              <w:textAlignment w:val="baseline"/>
              <w:rPr>
                <w:rFonts w:ascii="Times New Roman" w:hAnsi="Times New Roman" w:eastAsia="Times New Roman" w:cs="Times New Roman"/>
                <w:snapToGrid w:val="0"/>
                <w:color w:val="auto"/>
                <w:kern w:val="0"/>
                <w:sz w:val="20"/>
                <w:szCs w:val="20"/>
              </w:rPr>
            </w:pPr>
            <w:r>
              <w:rPr>
                <w:rFonts w:ascii="Times New Roman" w:hAnsi="Times New Roman" w:eastAsia="Times New Roman" w:cs="Times New Roman"/>
                <w:snapToGrid w:val="0"/>
                <w:color w:val="auto"/>
                <w:spacing w:val="-3"/>
                <w:kern w:val="0"/>
                <w:sz w:val="20"/>
                <w:szCs w:val="20"/>
              </w:rPr>
              <w:t>1</w:t>
            </w:r>
            <w:r>
              <w:rPr>
                <w:rFonts w:ascii="Times New Roman" w:hAnsi="Times New Roman" w:eastAsia="Times New Roman" w:cs="Times New Roman"/>
                <w:snapToGrid w:val="0"/>
                <w:color w:val="auto"/>
                <w:spacing w:val="-2"/>
                <w:kern w:val="0"/>
                <w:sz w:val="20"/>
                <w:szCs w:val="20"/>
              </w:rPr>
              <w:t>.05</w:t>
            </w:r>
          </w:p>
        </w:tc>
        <w:tc>
          <w:tcPr>
            <w:tcW w:w="2261" w:type="dxa"/>
            <w:vAlign w:val="top"/>
          </w:tcPr>
          <w:p w14:paraId="6492BE04">
            <w:pPr>
              <w:keepNext w:val="0"/>
              <w:keepLines w:val="0"/>
              <w:pageBreakBefore w:val="0"/>
              <w:widowControl/>
              <w:kinsoku w:val="0"/>
              <w:wordWrap/>
              <w:overflowPunct/>
              <w:topLinePunct w:val="0"/>
              <w:autoSpaceDE w:val="0"/>
              <w:autoSpaceDN w:val="0"/>
              <w:bidi w:val="0"/>
              <w:adjustRightInd w:val="0"/>
              <w:snapToGrid w:val="0"/>
              <w:spacing w:line="249" w:lineRule="auto"/>
              <w:ind w:firstLine="0" w:firstLineChars="0"/>
              <w:jc w:val="center"/>
              <w:textAlignment w:val="baseline"/>
              <w:rPr>
                <w:rFonts w:ascii="Arial" w:hAnsi="Arial" w:eastAsia="Arial" w:cs="Arial"/>
                <w:snapToGrid w:val="0"/>
                <w:color w:val="auto"/>
                <w:kern w:val="0"/>
                <w:sz w:val="21"/>
                <w:szCs w:val="21"/>
              </w:rPr>
            </w:pPr>
          </w:p>
          <w:p w14:paraId="3B5D02C1">
            <w:pPr>
              <w:keepNext w:val="0"/>
              <w:keepLines w:val="0"/>
              <w:pageBreakBefore w:val="0"/>
              <w:widowControl/>
              <w:kinsoku w:val="0"/>
              <w:wordWrap/>
              <w:overflowPunct/>
              <w:topLinePunct w:val="0"/>
              <w:autoSpaceDE w:val="0"/>
              <w:autoSpaceDN w:val="0"/>
              <w:bidi w:val="0"/>
              <w:adjustRightInd w:val="0"/>
              <w:snapToGrid w:val="0"/>
              <w:spacing w:before="57" w:line="198" w:lineRule="auto"/>
              <w:ind w:left="0" w:leftChars="0" w:firstLine="0" w:firstLineChars="0"/>
              <w:jc w:val="center"/>
              <w:textAlignment w:val="baseline"/>
              <w:rPr>
                <w:rFonts w:ascii="Times New Roman" w:hAnsi="Times New Roman" w:eastAsia="Times New Roman" w:cs="Times New Roman"/>
                <w:snapToGrid w:val="0"/>
                <w:color w:val="auto"/>
                <w:kern w:val="0"/>
                <w:sz w:val="20"/>
                <w:szCs w:val="20"/>
              </w:rPr>
            </w:pPr>
            <w:r>
              <w:rPr>
                <w:rFonts w:ascii="Times New Roman" w:hAnsi="Times New Roman" w:eastAsia="Times New Roman" w:cs="Times New Roman"/>
                <w:snapToGrid w:val="0"/>
                <w:color w:val="auto"/>
                <w:spacing w:val="-2"/>
                <w:kern w:val="0"/>
                <w:sz w:val="20"/>
                <w:szCs w:val="20"/>
              </w:rPr>
              <w:t>1.</w:t>
            </w:r>
            <w:r>
              <w:rPr>
                <w:rFonts w:ascii="Times New Roman" w:hAnsi="Times New Roman" w:eastAsia="Times New Roman" w:cs="Times New Roman"/>
                <w:snapToGrid w:val="0"/>
                <w:color w:val="auto"/>
                <w:spacing w:val="-1"/>
                <w:kern w:val="0"/>
                <w:sz w:val="20"/>
                <w:szCs w:val="20"/>
              </w:rPr>
              <w:t>00</w:t>
            </w:r>
          </w:p>
        </w:tc>
      </w:tr>
    </w:tbl>
    <w:p w14:paraId="2CD24924">
      <w:pPr>
        <w:kinsoku w:val="0"/>
        <w:autoSpaceDE w:val="0"/>
        <w:autoSpaceDN w:val="0"/>
        <w:adjustRightInd w:val="0"/>
        <w:snapToGrid w:val="0"/>
        <w:spacing w:line="240" w:lineRule="auto"/>
        <w:jc w:val="left"/>
        <w:textAlignment w:val="baseline"/>
        <w:rPr>
          <w:rFonts w:hint="default" w:ascii="宋体" w:hAnsi="宋体" w:eastAsia="Arial" w:cs="宋体"/>
          <w:snapToGrid w:val="0"/>
          <w:color w:val="auto"/>
          <w:kern w:val="0"/>
          <w:sz w:val="21"/>
          <w:szCs w:val="20"/>
        </w:rPr>
      </w:pPr>
    </w:p>
    <w:p w14:paraId="6E680A2E">
      <w:pPr>
        <w:kinsoku w:val="0"/>
        <w:autoSpaceDE w:val="0"/>
        <w:autoSpaceDN w:val="0"/>
        <w:adjustRightInd w:val="0"/>
        <w:snapToGrid w:val="0"/>
        <w:spacing w:line="240" w:lineRule="auto"/>
        <w:ind w:firstLine="1470" w:firstLineChars="700"/>
        <w:jc w:val="left"/>
        <w:textAlignment w:val="baseline"/>
        <w:rPr>
          <w:rFonts w:hint="default" w:ascii="宋体" w:hAnsi="宋体" w:eastAsia="宋体" w:cs="宋体"/>
          <w:snapToGrid w:val="0"/>
          <w:color w:val="auto"/>
          <w:spacing w:val="-5"/>
          <w:kern w:val="0"/>
          <w:sz w:val="24"/>
          <w:szCs w:val="24"/>
        </w:rPr>
      </w:pPr>
      <w:r>
        <w:rPr>
          <w:rFonts w:ascii="宋体" w:hAnsi="宋体" w:eastAsia="Arial" w:cs="宋体"/>
          <w:snapToGrid w:val="0"/>
          <w:color w:val="auto"/>
          <w:kern w:val="0"/>
          <w:position w:val="-80"/>
          <w:sz w:val="21"/>
          <w:szCs w:val="20"/>
        </w:rPr>
        <w:drawing>
          <wp:anchor distT="0" distB="0" distL="0" distR="0" simplePos="0" relativeHeight="251661312" behindDoc="1" locked="0" layoutInCell="1" allowOverlap="1">
            <wp:simplePos x="0" y="0"/>
            <wp:positionH relativeFrom="column">
              <wp:posOffset>120015</wp:posOffset>
            </wp:positionH>
            <wp:positionV relativeFrom="paragraph">
              <wp:posOffset>141605</wp:posOffset>
            </wp:positionV>
            <wp:extent cx="5269865" cy="2534285"/>
            <wp:effectExtent l="0" t="0" r="6985" b="18415"/>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4"/>
                    <a:stretch>
                      <a:fillRect/>
                    </a:stretch>
                  </pic:blipFill>
                  <pic:spPr>
                    <a:xfrm>
                      <a:off x="0" y="0"/>
                      <a:ext cx="5269992" cy="2534411"/>
                    </a:xfrm>
                    <a:prstGeom prst="rect">
                      <a:avLst/>
                    </a:prstGeom>
                  </pic:spPr>
                </pic:pic>
              </a:graphicData>
            </a:graphic>
          </wp:anchor>
        </w:drawing>
      </w:r>
    </w:p>
    <w:p w14:paraId="1857D928">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59845CE6">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2C35B072">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0E3D43DB">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1CE984A9">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5103C900">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2314FE70">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3768D399">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514AF528">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092AAAF8">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583F7B77">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28228061">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78A2C949">
      <w:pPr>
        <w:kinsoku w:val="0"/>
        <w:autoSpaceDE w:val="0"/>
        <w:autoSpaceDN w:val="0"/>
        <w:adjustRightInd w:val="0"/>
        <w:snapToGrid w:val="0"/>
        <w:spacing w:line="240" w:lineRule="auto"/>
        <w:ind w:firstLine="1610" w:firstLineChars="700"/>
        <w:jc w:val="left"/>
        <w:textAlignment w:val="baseline"/>
        <w:rPr>
          <w:rFonts w:hint="default" w:ascii="宋体" w:hAnsi="宋体" w:eastAsia="宋体" w:cs="宋体"/>
          <w:snapToGrid w:val="0"/>
          <w:color w:val="auto"/>
          <w:spacing w:val="-5"/>
          <w:kern w:val="0"/>
          <w:sz w:val="24"/>
          <w:szCs w:val="24"/>
        </w:rPr>
      </w:pPr>
    </w:p>
    <w:p w14:paraId="23900DD9">
      <w:pPr>
        <w:kinsoku w:val="0"/>
        <w:autoSpaceDE w:val="0"/>
        <w:autoSpaceDN w:val="0"/>
        <w:adjustRightInd w:val="0"/>
        <w:snapToGrid w:val="0"/>
        <w:spacing w:line="240" w:lineRule="auto"/>
        <w:ind w:firstLine="1771" w:firstLineChars="700"/>
        <w:jc w:val="left"/>
        <w:textAlignment w:val="baseline"/>
        <w:rPr>
          <w:rFonts w:hint="default" w:ascii="宋体" w:hAnsi="宋体" w:eastAsia="宋体" w:cs="宋体"/>
          <w:snapToGrid w:val="0"/>
          <w:color w:val="auto"/>
          <w:spacing w:val="-5"/>
          <w:kern w:val="0"/>
          <w:sz w:val="24"/>
          <w:szCs w:val="24"/>
        </w:rPr>
      </w:pPr>
      <w:r>
        <w:rPr>
          <w:rFonts w:hint="eastAsia" w:ascii="宋体" w:hAnsi="宋体" w:eastAsia="宋体" w:cs="宋体"/>
          <w:b/>
          <w:bCs/>
          <w:snapToGrid w:val="0"/>
          <w:color w:val="auto"/>
          <w:spacing w:val="6"/>
          <w:kern w:val="0"/>
          <w:sz w:val="24"/>
          <w:szCs w:val="24"/>
        </w:rPr>
        <w:t>图</w:t>
      </w:r>
      <w:r>
        <w:rPr>
          <w:rFonts w:hint="eastAsia" w:ascii="宋体" w:hAnsi="宋体" w:eastAsia="宋体" w:cs="宋体"/>
          <w:b/>
          <w:bCs/>
          <w:snapToGrid w:val="0"/>
          <w:color w:val="auto"/>
          <w:spacing w:val="4"/>
          <w:kern w:val="0"/>
          <w:sz w:val="24"/>
          <w:szCs w:val="24"/>
        </w:rPr>
        <w:t xml:space="preserve"> 5.2</w:t>
      </w:r>
      <w:r>
        <w:rPr>
          <w:rFonts w:hint="eastAsia" w:ascii="宋体" w:hAnsi="宋体" w:eastAsia="宋体" w:cs="宋体"/>
          <w:b/>
          <w:bCs/>
          <w:snapToGrid w:val="0"/>
          <w:color w:val="auto"/>
          <w:spacing w:val="4"/>
          <w:kern w:val="0"/>
          <w:sz w:val="24"/>
          <w:szCs w:val="24"/>
          <w:lang w:val="en-US" w:eastAsia="zh-CN"/>
        </w:rPr>
        <w:t>.2</w:t>
      </w:r>
      <w:r>
        <w:rPr>
          <w:rFonts w:hint="eastAsia" w:ascii="宋体" w:hAnsi="宋体" w:eastAsia="宋体" w:cs="宋体"/>
          <w:b/>
          <w:bCs/>
          <w:snapToGrid w:val="0"/>
          <w:color w:val="auto"/>
          <w:spacing w:val="4"/>
          <w:kern w:val="0"/>
          <w:sz w:val="24"/>
          <w:szCs w:val="24"/>
        </w:rPr>
        <w:t>-3 现状尾矿坝正常运行稳定计算简图</w:t>
      </w:r>
    </w:p>
    <w:p w14:paraId="0B2084FA">
      <w:pPr>
        <w:ind w:firstLine="1610" w:firstLineChars="700"/>
        <w:jc w:val="left"/>
        <w:rPr>
          <w:rFonts w:hint="default" w:ascii="宋体" w:hAnsi="宋体" w:eastAsia="宋体" w:cs="宋体"/>
          <w:color w:val="auto"/>
          <w:spacing w:val="-5"/>
          <w:sz w:val="24"/>
          <w:szCs w:val="24"/>
        </w:rPr>
        <w:sectPr>
          <w:footerReference r:id="rId7" w:type="default"/>
          <w:pgSz w:w="11906" w:h="16839"/>
          <w:pgMar w:top="1259" w:right="1417" w:bottom="1259" w:left="1417" w:header="850" w:footer="850" w:gutter="0"/>
          <w:pgBorders>
            <w:top w:val="none" w:sz="0" w:space="0"/>
            <w:left w:val="none" w:sz="0" w:space="0"/>
            <w:bottom w:val="none" w:sz="0" w:space="0"/>
            <w:right w:val="none" w:sz="0" w:space="0"/>
          </w:pgBorders>
          <w:pgNumType w:fmt="decimal" w:start="1"/>
          <w:cols w:space="720" w:num="1"/>
        </w:sectPr>
      </w:pPr>
    </w:p>
    <w:p w14:paraId="367FDB36">
      <w:pPr>
        <w:widowControl/>
        <w:kinsoku w:val="0"/>
        <w:autoSpaceDE w:val="0"/>
        <w:autoSpaceDN w:val="0"/>
        <w:spacing w:line="248" w:lineRule="auto"/>
        <w:ind w:firstLine="0" w:firstLineChars="0"/>
        <w:jc w:val="left"/>
        <w:textAlignment w:val="baseline"/>
        <w:rPr>
          <w:rFonts w:ascii="Arial" w:hAnsi="Arial" w:eastAsia="Arial" w:cs="Arial"/>
          <w:snapToGrid w:val="0"/>
          <w:color w:val="auto"/>
          <w:kern w:val="0"/>
          <w:sz w:val="21"/>
          <w:szCs w:val="21"/>
        </w:rPr>
      </w:pPr>
      <w:r>
        <w:rPr>
          <w:rFonts w:ascii="Arial" w:hAnsi="Arial" w:eastAsia="Arial" w:cs="Arial"/>
          <w:snapToGrid w:val="0"/>
          <w:color w:val="auto"/>
          <w:kern w:val="0"/>
          <w:position w:val="-80"/>
          <w:sz w:val="21"/>
          <w:szCs w:val="21"/>
        </w:rPr>
        <w:drawing>
          <wp:anchor distT="0" distB="0" distL="0" distR="0" simplePos="0" relativeHeight="251661312" behindDoc="1" locked="0" layoutInCell="1" allowOverlap="1">
            <wp:simplePos x="0" y="0"/>
            <wp:positionH relativeFrom="column">
              <wp:posOffset>325120</wp:posOffset>
            </wp:positionH>
            <wp:positionV relativeFrom="paragraph">
              <wp:posOffset>158115</wp:posOffset>
            </wp:positionV>
            <wp:extent cx="5269865" cy="2534285"/>
            <wp:effectExtent l="0" t="0" r="6985" b="18415"/>
            <wp:wrapNone/>
            <wp:docPr id="2" name="IM 49"/>
            <wp:cNvGraphicFramePr/>
            <a:graphic xmlns:a="http://schemas.openxmlformats.org/drawingml/2006/main">
              <a:graphicData uri="http://schemas.openxmlformats.org/drawingml/2006/picture">
                <pic:pic xmlns:pic="http://schemas.openxmlformats.org/drawingml/2006/picture">
                  <pic:nvPicPr>
                    <pic:cNvPr id="2" name="IM 49"/>
                    <pic:cNvPicPr/>
                  </pic:nvPicPr>
                  <pic:blipFill>
                    <a:blip r:embed="rId15"/>
                    <a:stretch>
                      <a:fillRect/>
                    </a:stretch>
                  </pic:blipFill>
                  <pic:spPr>
                    <a:xfrm>
                      <a:off x="0" y="0"/>
                      <a:ext cx="5269991" cy="2534411"/>
                    </a:xfrm>
                    <a:prstGeom prst="rect">
                      <a:avLst/>
                    </a:prstGeom>
                  </pic:spPr>
                </pic:pic>
              </a:graphicData>
            </a:graphic>
          </wp:anchor>
        </w:drawing>
      </w:r>
    </w:p>
    <w:p w14:paraId="1C8ADA1F">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047B1BC5">
      <w:pPr>
        <w:widowControl/>
        <w:kinsoku w:val="0"/>
        <w:autoSpaceDE w:val="0"/>
        <w:autoSpaceDN w:val="0"/>
        <w:spacing w:line="35" w:lineRule="exact"/>
        <w:ind w:firstLine="0" w:firstLineChars="0"/>
        <w:jc w:val="left"/>
        <w:textAlignment w:val="baseline"/>
        <w:rPr>
          <w:rFonts w:ascii="Arial" w:hAnsi="Arial" w:eastAsia="Arial" w:cs="Arial"/>
          <w:snapToGrid w:val="0"/>
          <w:color w:val="auto"/>
          <w:kern w:val="0"/>
          <w:sz w:val="21"/>
          <w:szCs w:val="21"/>
        </w:rPr>
      </w:pPr>
    </w:p>
    <w:p w14:paraId="5BD2D1ED">
      <w:pPr>
        <w:widowControl/>
        <w:kinsoku w:val="0"/>
        <w:autoSpaceDE w:val="0"/>
        <w:autoSpaceDN w:val="0"/>
        <w:spacing w:line="240" w:lineRule="auto"/>
        <w:ind w:firstLine="0" w:firstLineChars="0"/>
        <w:jc w:val="left"/>
        <w:textAlignment w:val="baseline"/>
        <w:rPr>
          <w:rFonts w:ascii="Arial" w:hAnsi="Arial" w:eastAsia="Arial" w:cs="Arial"/>
          <w:snapToGrid w:val="0"/>
          <w:color w:val="auto"/>
          <w:kern w:val="0"/>
          <w:sz w:val="21"/>
          <w:szCs w:val="21"/>
        </w:rPr>
      </w:pPr>
    </w:p>
    <w:p w14:paraId="341880B0">
      <w:pPr>
        <w:widowControl/>
        <w:kinsoku w:val="0"/>
        <w:autoSpaceDE w:val="0"/>
        <w:autoSpaceDN w:val="0"/>
        <w:spacing w:line="285" w:lineRule="auto"/>
        <w:ind w:firstLine="0" w:firstLineChars="0"/>
        <w:jc w:val="left"/>
        <w:textAlignment w:val="baseline"/>
        <w:rPr>
          <w:rFonts w:ascii="Arial" w:hAnsi="Arial" w:eastAsia="Arial" w:cs="Arial"/>
          <w:snapToGrid w:val="0"/>
          <w:color w:val="auto"/>
          <w:kern w:val="0"/>
          <w:sz w:val="21"/>
          <w:szCs w:val="21"/>
        </w:rPr>
      </w:pPr>
    </w:p>
    <w:p w14:paraId="729127E7">
      <w:pPr>
        <w:widowControl/>
        <w:kinsoku w:val="0"/>
        <w:autoSpaceDE w:val="0"/>
        <w:autoSpaceDN w:val="0"/>
        <w:spacing w:line="285" w:lineRule="auto"/>
        <w:ind w:firstLine="0" w:firstLineChars="0"/>
        <w:jc w:val="left"/>
        <w:textAlignment w:val="baseline"/>
        <w:rPr>
          <w:rFonts w:ascii="Arial" w:hAnsi="Arial" w:eastAsia="Arial" w:cs="Arial"/>
          <w:snapToGrid w:val="0"/>
          <w:color w:val="auto"/>
          <w:kern w:val="0"/>
          <w:sz w:val="21"/>
          <w:szCs w:val="21"/>
        </w:rPr>
      </w:pPr>
    </w:p>
    <w:p w14:paraId="5CFDB5E7">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0E78F294">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095583DE">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41989021">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35B1546F">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4CEC856C">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648155E7">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08C0B939">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49D8B81E">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01D62983">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01419F42">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7470ADB8">
      <w:pPr>
        <w:kinsoku w:val="0"/>
        <w:autoSpaceDE w:val="0"/>
        <w:autoSpaceDN w:val="0"/>
        <w:adjustRightInd w:val="0"/>
        <w:snapToGrid w:val="0"/>
        <w:spacing w:line="240" w:lineRule="auto"/>
        <w:jc w:val="left"/>
        <w:textAlignment w:val="baseline"/>
        <w:rPr>
          <w:rFonts w:ascii="Arial" w:hAnsi="宋体" w:eastAsia="Arial" w:cs="宋体"/>
          <w:snapToGrid w:val="0"/>
          <w:color w:val="auto"/>
          <w:kern w:val="0"/>
          <w:sz w:val="21"/>
          <w:szCs w:val="20"/>
        </w:rPr>
      </w:pPr>
    </w:p>
    <w:p w14:paraId="17BDA31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napToGrid w:val="0"/>
          <w:color w:val="auto"/>
          <w:spacing w:val="6"/>
          <w:kern w:val="0"/>
          <w:sz w:val="24"/>
          <w:szCs w:val="24"/>
        </w:rPr>
      </w:pPr>
    </w:p>
    <w:p w14:paraId="4F2A3E9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napToGrid w:val="0"/>
          <w:color w:val="auto"/>
          <w:spacing w:val="4"/>
          <w:kern w:val="0"/>
          <w:sz w:val="24"/>
          <w:szCs w:val="24"/>
        </w:rPr>
      </w:pPr>
      <w:r>
        <w:rPr>
          <w:rFonts w:hint="eastAsia" w:ascii="宋体" w:hAnsi="宋体" w:eastAsia="宋体" w:cs="宋体"/>
          <w:b/>
          <w:bCs/>
          <w:snapToGrid w:val="0"/>
          <w:color w:val="auto"/>
          <w:spacing w:val="6"/>
          <w:kern w:val="0"/>
          <w:sz w:val="24"/>
          <w:szCs w:val="24"/>
        </w:rPr>
        <w:t>图</w:t>
      </w:r>
      <w:r>
        <w:rPr>
          <w:rFonts w:hint="eastAsia" w:ascii="宋体" w:hAnsi="宋体" w:eastAsia="宋体" w:cs="宋体"/>
          <w:b/>
          <w:bCs/>
          <w:snapToGrid w:val="0"/>
          <w:color w:val="auto"/>
          <w:spacing w:val="4"/>
          <w:kern w:val="0"/>
          <w:sz w:val="24"/>
          <w:szCs w:val="24"/>
        </w:rPr>
        <w:t xml:space="preserve"> 5.2</w:t>
      </w:r>
      <w:r>
        <w:rPr>
          <w:rFonts w:hint="eastAsia" w:ascii="宋体" w:hAnsi="宋体" w:cs="宋体"/>
          <w:b/>
          <w:bCs/>
          <w:snapToGrid w:val="0"/>
          <w:color w:val="auto"/>
          <w:spacing w:val="4"/>
          <w:kern w:val="0"/>
          <w:sz w:val="24"/>
          <w:szCs w:val="24"/>
          <w:lang w:val="en-US" w:eastAsia="zh-CN"/>
        </w:rPr>
        <w:t>.2</w:t>
      </w:r>
      <w:r>
        <w:rPr>
          <w:rFonts w:hint="eastAsia" w:ascii="宋体" w:hAnsi="宋体" w:eastAsia="宋体" w:cs="宋体"/>
          <w:b/>
          <w:bCs/>
          <w:snapToGrid w:val="0"/>
          <w:color w:val="auto"/>
          <w:spacing w:val="4"/>
          <w:kern w:val="0"/>
          <w:sz w:val="24"/>
          <w:szCs w:val="24"/>
        </w:rPr>
        <w:t>-4 现状尾矿坝洪水运行稳定计算简图</w:t>
      </w:r>
    </w:p>
    <w:p w14:paraId="68B425D3">
      <w:pPr>
        <w:kinsoku w:val="0"/>
        <w:autoSpaceDE w:val="0"/>
        <w:autoSpaceDN w:val="0"/>
        <w:adjustRightInd w:val="0"/>
        <w:snapToGrid w:val="0"/>
        <w:spacing w:line="240" w:lineRule="auto"/>
        <w:jc w:val="left"/>
        <w:textAlignment w:val="baseline"/>
        <w:rPr>
          <w:rFonts w:hint="eastAsia" w:ascii="宋体" w:hAnsi="宋体" w:eastAsia="宋体" w:cs="宋体"/>
          <w:b/>
          <w:bCs/>
          <w:snapToGrid w:val="0"/>
          <w:color w:val="auto"/>
          <w:spacing w:val="4"/>
          <w:kern w:val="0"/>
          <w:sz w:val="24"/>
          <w:szCs w:val="24"/>
        </w:rPr>
      </w:pPr>
    </w:p>
    <w:p w14:paraId="2E62D748">
      <w:pPr>
        <w:kinsoku w:val="0"/>
        <w:autoSpaceDE w:val="0"/>
        <w:autoSpaceDN w:val="0"/>
        <w:adjustRightInd w:val="0"/>
        <w:snapToGrid w:val="0"/>
        <w:spacing w:line="240" w:lineRule="auto"/>
        <w:jc w:val="left"/>
        <w:textAlignment w:val="baseline"/>
        <w:rPr>
          <w:rFonts w:hint="eastAsia" w:ascii="宋体" w:hAnsi="宋体" w:eastAsia="宋体" w:cs="宋体"/>
          <w:b/>
          <w:bCs/>
          <w:snapToGrid w:val="0"/>
          <w:color w:val="auto"/>
          <w:spacing w:val="4"/>
          <w:kern w:val="0"/>
          <w:sz w:val="24"/>
          <w:szCs w:val="24"/>
        </w:rPr>
      </w:pPr>
    </w:p>
    <w:p w14:paraId="176EA153">
      <w:pPr>
        <w:widowControl/>
        <w:kinsoku w:val="0"/>
        <w:autoSpaceDE w:val="0"/>
        <w:autoSpaceDN w:val="0"/>
        <w:spacing w:line="240" w:lineRule="auto"/>
        <w:ind w:firstLine="0" w:firstLineChars="0"/>
        <w:jc w:val="left"/>
        <w:textAlignment w:val="baseline"/>
        <w:rPr>
          <w:rFonts w:ascii="Arial" w:hAnsi="Arial" w:eastAsia="Arial" w:cs="Arial"/>
          <w:snapToGrid w:val="0"/>
          <w:color w:val="auto"/>
          <w:kern w:val="0"/>
          <w:sz w:val="21"/>
          <w:szCs w:val="21"/>
        </w:rPr>
      </w:pPr>
    </w:p>
    <w:p w14:paraId="15698667">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r>
        <w:rPr>
          <w:rFonts w:ascii="宋体" w:hAnsi="宋体" w:eastAsia="Arial" w:cs="宋体"/>
          <w:b/>
          <w:bCs/>
          <w:snapToGrid w:val="0"/>
          <w:color w:val="auto"/>
          <w:kern w:val="0"/>
          <w:sz w:val="21"/>
          <w:szCs w:val="20"/>
        </w:rPr>
        <w:drawing>
          <wp:anchor distT="0" distB="0" distL="0" distR="0" simplePos="0" relativeHeight="251661312" behindDoc="1" locked="0" layoutInCell="1" allowOverlap="1">
            <wp:simplePos x="0" y="0"/>
            <wp:positionH relativeFrom="column">
              <wp:posOffset>241935</wp:posOffset>
            </wp:positionH>
            <wp:positionV relativeFrom="paragraph">
              <wp:posOffset>116840</wp:posOffset>
            </wp:positionV>
            <wp:extent cx="5269865" cy="2534285"/>
            <wp:effectExtent l="0" t="0" r="6985" b="18415"/>
            <wp:wrapNone/>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r:embed="rId16"/>
                    <a:stretch>
                      <a:fillRect/>
                    </a:stretch>
                  </pic:blipFill>
                  <pic:spPr>
                    <a:xfrm>
                      <a:off x="0" y="0"/>
                      <a:ext cx="5269991" cy="2534411"/>
                    </a:xfrm>
                    <a:prstGeom prst="rect">
                      <a:avLst/>
                    </a:prstGeom>
                  </pic:spPr>
                </pic:pic>
              </a:graphicData>
            </a:graphic>
          </wp:anchor>
        </w:drawing>
      </w:r>
    </w:p>
    <w:p w14:paraId="2D38E81E">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36649E4A">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57BE94CB">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65C1AD0F">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484D859E">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06519D54">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098454D7">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5F8001E5">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7C22CF10">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03225E10">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579F18B6">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447BECB6">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0D27AB87">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06FD7B0E">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03DCFA13">
      <w:pPr>
        <w:kinsoku w:val="0"/>
        <w:autoSpaceDE w:val="0"/>
        <w:autoSpaceDN w:val="0"/>
        <w:adjustRightInd w:val="0"/>
        <w:snapToGrid w:val="0"/>
        <w:spacing w:line="240" w:lineRule="auto"/>
        <w:jc w:val="left"/>
        <w:textAlignment w:val="baseline"/>
        <w:rPr>
          <w:rFonts w:ascii="宋体" w:hAnsi="宋体" w:eastAsia="Arial" w:cs="宋体"/>
          <w:snapToGrid w:val="0"/>
          <w:color w:val="auto"/>
          <w:kern w:val="0"/>
          <w:sz w:val="21"/>
          <w:szCs w:val="20"/>
        </w:rPr>
      </w:pPr>
    </w:p>
    <w:p w14:paraId="6EA2CDC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ascii="宋体" w:hAnsi="宋体" w:eastAsia="宋体" w:cs="宋体"/>
          <w:snapToGrid w:val="0"/>
          <w:color w:val="auto"/>
          <w:spacing w:val="6"/>
          <w:kern w:val="0"/>
          <w:sz w:val="24"/>
          <w:szCs w:val="24"/>
        </w:rPr>
      </w:pPr>
      <w:r>
        <w:rPr>
          <w:rFonts w:hint="eastAsia" w:ascii="宋体" w:hAnsi="宋体" w:eastAsia="宋体" w:cs="宋体"/>
          <w:b/>
          <w:bCs/>
          <w:snapToGrid w:val="0"/>
          <w:color w:val="auto"/>
          <w:spacing w:val="6"/>
          <w:kern w:val="0"/>
          <w:sz w:val="24"/>
          <w:szCs w:val="24"/>
        </w:rPr>
        <w:t>图 5.2</w:t>
      </w:r>
      <w:r>
        <w:rPr>
          <w:rFonts w:hint="eastAsia" w:ascii="宋体" w:hAnsi="宋体" w:cs="宋体"/>
          <w:b/>
          <w:bCs/>
          <w:snapToGrid w:val="0"/>
          <w:color w:val="auto"/>
          <w:spacing w:val="6"/>
          <w:kern w:val="0"/>
          <w:sz w:val="24"/>
          <w:szCs w:val="24"/>
          <w:lang w:val="en-US" w:eastAsia="zh-CN"/>
        </w:rPr>
        <w:t>.2</w:t>
      </w:r>
      <w:r>
        <w:rPr>
          <w:rFonts w:hint="eastAsia" w:ascii="宋体" w:hAnsi="宋体" w:eastAsia="宋体" w:cs="宋体"/>
          <w:b/>
          <w:bCs/>
          <w:snapToGrid w:val="0"/>
          <w:color w:val="auto"/>
          <w:spacing w:val="6"/>
          <w:kern w:val="0"/>
          <w:sz w:val="24"/>
          <w:szCs w:val="24"/>
        </w:rPr>
        <w:t>-5 现状尾矿坝特殊运行稳定计算简图</w:t>
      </w:r>
    </w:p>
    <w:p w14:paraId="6ABB2B83">
      <w:pPr>
        <w:rPr>
          <w:color w:val="auto"/>
        </w:rPr>
        <w:sectPr>
          <w:footerReference r:id="rId8" w:type="default"/>
          <w:pgSz w:w="11906" w:h="16839"/>
          <w:pgMar w:top="1259" w:right="1416" w:bottom="1259" w:left="1417" w:header="878" w:footer="624" w:gutter="0"/>
          <w:pgBorders>
            <w:top w:val="none" w:sz="0" w:space="0"/>
            <w:left w:val="none" w:sz="0" w:space="0"/>
            <w:bottom w:val="none" w:sz="0" w:space="0"/>
            <w:right w:val="none" w:sz="0" w:space="0"/>
          </w:pgBorders>
          <w:pgNumType w:fmt="decimal"/>
          <w:cols w:space="720" w:num="1"/>
        </w:sectPr>
      </w:pPr>
    </w:p>
    <w:p w14:paraId="0524C063">
      <w:pPr>
        <w:bidi w:val="0"/>
        <w:rPr>
          <w:rFonts w:hint="default"/>
          <w:lang w:val="en-US" w:eastAsia="zh-CN"/>
        </w:rPr>
      </w:pPr>
    </w:p>
    <w:p w14:paraId="161D01C0">
      <w:pPr>
        <w:pStyle w:val="5"/>
        <w:bidi w:val="0"/>
        <w:rPr>
          <w:rFonts w:hint="default" w:ascii="Times New Roman" w:hAnsi="Times New Roman" w:eastAsia="黑体" w:cs="Times New Roman"/>
          <w:bCs/>
          <w:color w:val="auto"/>
          <w:szCs w:val="28"/>
        </w:rPr>
      </w:pPr>
      <w:bookmarkStart w:id="170" w:name="_Toc31055"/>
      <w:r>
        <w:rPr>
          <w:rFonts w:hint="default" w:ascii="Times New Roman" w:hAnsi="Times New Roman" w:cs="Times New Roman"/>
          <w:color w:val="auto"/>
          <w:lang w:val="en-US" w:eastAsia="zh-CN"/>
        </w:rPr>
        <w:t>5.2.3</w:t>
      </w:r>
      <w:r>
        <w:rPr>
          <w:rFonts w:hint="default" w:ascii="Times New Roman" w:hAnsi="Times New Roman" w:cs="Times New Roman"/>
          <w:color w:val="auto"/>
        </w:rPr>
        <w:t>尾矿坝单元评价小结</w:t>
      </w:r>
      <w:bookmarkEnd w:id="159"/>
      <w:bookmarkEnd w:id="160"/>
      <w:bookmarkEnd w:id="161"/>
      <w:bookmarkEnd w:id="170"/>
    </w:p>
    <w:p w14:paraId="56CE65B2">
      <w:pPr>
        <w:keepNext w:val="0"/>
        <w:keepLines w:val="0"/>
        <w:pageBreakBefore w:val="0"/>
        <w:widowControl w:val="0"/>
        <w:numPr>
          <w:ilvl w:val="0"/>
          <w:numId w:val="3"/>
        </w:numPr>
        <w:kinsoku/>
        <w:wordWrap/>
        <w:overflowPunct/>
        <w:topLinePunct w:val="0"/>
        <w:bidi w:val="0"/>
        <w:snapToGrid/>
        <w:spacing w:line="600" w:lineRule="exact"/>
        <w:ind w:right="0" w:rightChars="0" w:firstLine="537" w:firstLineChars="192"/>
        <w:textAlignment w:val="auto"/>
        <w:rPr>
          <w:rFonts w:hint="default" w:ascii="Times New Roman" w:hAnsi="Times New Roman" w:cs="Times New Roman"/>
          <w:color w:val="auto"/>
          <w:sz w:val="28"/>
        </w:rPr>
      </w:pPr>
      <w:r>
        <w:rPr>
          <w:rFonts w:hint="default" w:ascii="Times New Roman" w:hAnsi="Times New Roman" w:eastAsia="宋体" w:cs="Times New Roman"/>
          <w:color w:val="auto"/>
          <w:sz w:val="28"/>
          <w:szCs w:val="28"/>
          <w:lang w:eastAsia="zh-CN"/>
        </w:rPr>
        <w:t>经</w:t>
      </w:r>
      <w:r>
        <w:rPr>
          <w:rFonts w:hint="default" w:ascii="Times New Roman" w:hAnsi="Times New Roman" w:eastAsia="宋体" w:cs="Times New Roman"/>
          <w:color w:val="auto"/>
          <w:sz w:val="28"/>
          <w:szCs w:val="28"/>
          <w:lang w:val="en-US" w:eastAsia="zh-CN"/>
        </w:rPr>
        <w:t>安全检查表法分析、评判</w:t>
      </w:r>
      <w:r>
        <w:rPr>
          <w:rFonts w:hint="eastAsia" w:ascii="Times New Roman" w:hAnsi="Times New Roman" w:cs="Times New Roman"/>
          <w:color w:val="auto"/>
          <w:sz w:val="28"/>
          <w:lang w:eastAsia="zh-CN"/>
        </w:rPr>
        <w:t>，</w:t>
      </w:r>
      <w:r>
        <w:rPr>
          <w:rFonts w:hint="default" w:ascii="Times New Roman" w:hAnsi="Times New Roman" w:cs="Times New Roman"/>
          <w:color w:val="auto"/>
          <w:sz w:val="28"/>
        </w:rPr>
        <w:t>尾矿坝单元</w:t>
      </w:r>
      <w:r>
        <w:rPr>
          <w:rFonts w:hint="default" w:ascii="Times New Roman" w:hAnsi="Times New Roman" w:eastAsia="宋体" w:cs="Times New Roman"/>
          <w:color w:val="auto"/>
          <w:sz w:val="28"/>
          <w:szCs w:val="28"/>
        </w:rPr>
        <w:t>应得分</w:t>
      </w:r>
      <w:r>
        <w:rPr>
          <w:rFonts w:hint="default" w:ascii="Times New Roman" w:hAnsi="Times New Roman" w:cs="Times New Roman"/>
          <w:color w:val="auto"/>
          <w:sz w:val="28"/>
          <w:szCs w:val="28"/>
          <w:lang w:val="en-US" w:eastAsia="zh-CN"/>
        </w:rPr>
        <w:t>44</w:t>
      </w:r>
      <w:r>
        <w:rPr>
          <w:rFonts w:hint="default" w:ascii="Times New Roman" w:hAnsi="Times New Roman" w:eastAsia="宋体" w:cs="Times New Roman"/>
          <w:color w:val="auto"/>
          <w:sz w:val="28"/>
          <w:szCs w:val="28"/>
        </w:rPr>
        <w:t>分</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实</w:t>
      </w:r>
      <w:r>
        <w:rPr>
          <w:rFonts w:hint="eastAsia" w:ascii="Times New Roman" w:hAnsi="Times New Roman" w:cs="Times New Roman"/>
          <w:color w:val="auto"/>
          <w:sz w:val="28"/>
          <w:szCs w:val="28"/>
          <w:lang w:val="en-US" w:eastAsia="zh-CN"/>
        </w:rPr>
        <w:t>得</w:t>
      </w:r>
      <w:r>
        <w:rPr>
          <w:rFonts w:hint="default" w:ascii="Times New Roman" w:hAnsi="Times New Roman" w:eastAsia="宋体" w:cs="Times New Roman"/>
          <w:color w:val="auto"/>
          <w:sz w:val="28"/>
          <w:szCs w:val="28"/>
        </w:rPr>
        <w:t>分</w:t>
      </w:r>
      <w:r>
        <w:rPr>
          <w:rFonts w:hint="eastAsia" w:ascii="Times New Roman" w:hAnsi="Times New Roman" w:cs="Times New Roman"/>
          <w:color w:val="auto"/>
          <w:sz w:val="28"/>
          <w:szCs w:val="28"/>
          <w:lang w:val="en-US" w:eastAsia="zh-CN"/>
        </w:rPr>
        <w:t>42</w:t>
      </w:r>
      <w:r>
        <w:rPr>
          <w:rFonts w:hint="default" w:ascii="Times New Roman" w:hAnsi="Times New Roman" w:eastAsia="宋体" w:cs="Times New Roman"/>
          <w:color w:val="auto"/>
          <w:sz w:val="28"/>
          <w:szCs w:val="28"/>
        </w:rPr>
        <w:t>分</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rPr>
        <w:t>得分率</w:t>
      </w:r>
      <w:r>
        <w:rPr>
          <w:rFonts w:hint="eastAsia" w:ascii="Times New Roman" w:hAnsi="Times New Roman" w:cs="Times New Roman"/>
          <w:color w:val="auto"/>
          <w:sz w:val="28"/>
          <w:lang w:val="en-US" w:eastAsia="zh-CN"/>
        </w:rPr>
        <w:t>95.45</w:t>
      </w:r>
      <w:r>
        <w:rPr>
          <w:rFonts w:hint="default" w:ascii="Times New Roman" w:hAnsi="Times New Roman" w:cs="Times New Roman"/>
          <w:color w:val="auto"/>
          <w:sz w:val="28"/>
        </w:rPr>
        <w:t>%</w:t>
      </w:r>
      <w:r>
        <w:rPr>
          <w:rFonts w:hint="eastAsia" w:ascii="Times New Roman" w:hAnsi="Times New Roman" w:cs="Times New Roman"/>
          <w:color w:val="auto"/>
          <w:sz w:val="28"/>
          <w:lang w:eastAsia="zh-CN"/>
        </w:rPr>
        <w:t>，</w:t>
      </w:r>
      <w:r>
        <w:rPr>
          <w:rFonts w:hint="default" w:ascii="Times New Roman" w:hAnsi="Times New Roman" w:cs="Times New Roman"/>
          <w:color w:val="auto"/>
          <w:sz w:val="28"/>
          <w:szCs w:val="28"/>
        </w:rPr>
        <w:t>尾矿坝单元符合安全</w:t>
      </w:r>
      <w:r>
        <w:rPr>
          <w:rFonts w:hint="default" w:ascii="Times New Roman" w:hAnsi="Times New Roman" w:cs="Times New Roman"/>
          <w:color w:val="auto"/>
          <w:sz w:val="28"/>
          <w:szCs w:val="28"/>
          <w:lang w:val="en-US" w:eastAsia="zh-CN"/>
        </w:rPr>
        <w:t>要求</w:t>
      </w:r>
      <w:r>
        <w:rPr>
          <w:rFonts w:hint="default" w:ascii="Times New Roman" w:hAnsi="Times New Roman" w:cs="Times New Roman"/>
          <w:color w:val="auto"/>
          <w:sz w:val="28"/>
        </w:rPr>
        <w:t>。</w:t>
      </w:r>
    </w:p>
    <w:p w14:paraId="5E125A83">
      <w:pPr>
        <w:keepNext w:val="0"/>
        <w:keepLines w:val="0"/>
        <w:pageBreakBefore w:val="0"/>
        <w:widowControl w:val="0"/>
        <w:numPr>
          <w:ilvl w:val="0"/>
          <w:numId w:val="3"/>
        </w:numPr>
        <w:kinsoku/>
        <w:wordWrap/>
        <w:overflowPunct/>
        <w:topLinePunct w:val="0"/>
        <w:bidi w:val="0"/>
        <w:snapToGrid/>
        <w:spacing w:line="600" w:lineRule="exact"/>
        <w:ind w:right="0" w:rightChars="0" w:firstLine="537" w:firstLineChars="192"/>
        <w:textAlignment w:val="auto"/>
        <w:rPr>
          <w:rFonts w:hint="default" w:ascii="Times New Roman" w:hAnsi="Times New Roman" w:cs="Times New Roman"/>
          <w:color w:val="auto"/>
          <w:sz w:val="28"/>
        </w:rPr>
      </w:pPr>
      <w:r>
        <w:rPr>
          <w:rFonts w:hint="eastAsia"/>
          <w:color w:val="auto"/>
        </w:rPr>
        <w:t>根据稳定计算结果，现状尾矿坝稳定性在不同运行条件下均满足规范要求</w:t>
      </w:r>
      <w:r>
        <w:rPr>
          <w:rFonts w:hint="eastAsia"/>
          <w:color w:val="auto"/>
          <w:lang w:eastAsia="zh-CN"/>
        </w:rPr>
        <w:t>。</w:t>
      </w:r>
    </w:p>
    <w:p w14:paraId="7F9CA9D3">
      <w:pPr>
        <w:pStyle w:val="4"/>
        <w:bidi w:val="0"/>
        <w:rPr>
          <w:rFonts w:hint="default" w:ascii="Times New Roman" w:hAnsi="Times New Roman" w:cs="Times New Roman"/>
          <w:color w:val="auto"/>
        </w:rPr>
      </w:pPr>
      <w:bookmarkStart w:id="171" w:name="_Toc7986"/>
      <w:bookmarkStart w:id="172" w:name="_Toc25373"/>
      <w:bookmarkStart w:id="173" w:name="_Toc22563037"/>
      <w:bookmarkStart w:id="174" w:name="_Toc17445775"/>
      <w:r>
        <w:rPr>
          <w:rFonts w:hint="default" w:ascii="Times New Roman" w:hAnsi="Times New Roman" w:cs="Times New Roman"/>
          <w:color w:val="auto"/>
        </w:rPr>
        <w:t>5.3防排洪系统单元</w:t>
      </w:r>
      <w:bookmarkEnd w:id="171"/>
      <w:bookmarkEnd w:id="172"/>
      <w:bookmarkEnd w:id="173"/>
      <w:bookmarkEnd w:id="174"/>
    </w:p>
    <w:p w14:paraId="0F4DFE9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洪水是威胁尾矿库安全运行的主要隐患之一</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根据世界坝工记录资料可知</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洪水浸顶造成的失事几率较大</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达到了全部失事事故的28%.所以在安全评价中</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对尾矿库的防洪能力进行分析和评价是十分重要的一项内容。以下根据《尾矿库安全规程》等尾矿库防洪的相关规范和标准</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对江西临川鲁金矿业有限公司茅排金矿庄前尾矿库的排水设施及防洪能力进行评价。评价方法选用安全检查表法、调洪演算。</w:t>
      </w:r>
    </w:p>
    <w:p w14:paraId="5B895F31">
      <w:pPr>
        <w:pStyle w:val="5"/>
        <w:bidi w:val="0"/>
        <w:rPr>
          <w:rFonts w:hint="default" w:ascii="Times New Roman" w:hAnsi="Times New Roman" w:cs="Times New Roman"/>
          <w:color w:val="auto"/>
          <w:lang w:val="en-US" w:eastAsia="zh-CN"/>
        </w:rPr>
      </w:pPr>
      <w:bookmarkStart w:id="175" w:name="_Toc11417"/>
      <w:r>
        <w:rPr>
          <w:rFonts w:hint="default" w:ascii="Times New Roman" w:hAnsi="Times New Roman" w:cs="Times New Roman"/>
          <w:color w:val="auto"/>
          <w:lang w:val="en-US" w:eastAsia="zh-CN"/>
        </w:rPr>
        <w:t>5.3.1防排洪系统单元安全检查表法评价</w:t>
      </w:r>
      <w:bookmarkEnd w:id="175"/>
    </w:p>
    <w:p w14:paraId="4798FA10">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本报告参考《关于印发江西省非煤矿山安全检查表的通知》中的《尾矿库安全检查表》以及《尾矿库安全规程》</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制定了防排洪系统单元安全检查表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进行符合性评判</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具体见表5.3.1-1。</w:t>
      </w:r>
    </w:p>
    <w:tbl>
      <w:tblPr>
        <w:tblStyle w:val="17"/>
        <w:tblW w:w="5192" w:type="pct"/>
        <w:tblInd w:w="-1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353"/>
        <w:gridCol w:w="3705"/>
        <w:gridCol w:w="1490"/>
        <w:gridCol w:w="1017"/>
        <w:gridCol w:w="843"/>
        <w:gridCol w:w="685"/>
        <w:gridCol w:w="862"/>
        <w:gridCol w:w="474"/>
      </w:tblGrid>
      <w:tr w14:paraId="1FB0E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613" w:hRule="atLeast"/>
        </w:trPr>
        <w:tc>
          <w:tcPr>
            <w:tcW w:w="187" w:type="pct"/>
            <w:noWrap w:val="0"/>
            <w:vAlign w:val="center"/>
          </w:tcPr>
          <w:p w14:paraId="5EE12CB8">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项目</w:t>
            </w:r>
          </w:p>
        </w:tc>
        <w:tc>
          <w:tcPr>
            <w:tcW w:w="1964" w:type="pct"/>
            <w:noWrap w:val="0"/>
            <w:vAlign w:val="center"/>
          </w:tcPr>
          <w:p w14:paraId="7FE33C27">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检查内容</w:t>
            </w:r>
          </w:p>
        </w:tc>
        <w:tc>
          <w:tcPr>
            <w:tcW w:w="790" w:type="pct"/>
            <w:noWrap w:val="0"/>
            <w:vAlign w:val="center"/>
          </w:tcPr>
          <w:p w14:paraId="10EB8D4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检查依据</w:t>
            </w:r>
          </w:p>
        </w:tc>
        <w:tc>
          <w:tcPr>
            <w:tcW w:w="539" w:type="pct"/>
            <w:noWrap w:val="0"/>
            <w:vAlign w:val="center"/>
          </w:tcPr>
          <w:p w14:paraId="41DB877D">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检查方法</w:t>
            </w:r>
          </w:p>
          <w:p w14:paraId="32A2F64B">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及地点</w:t>
            </w:r>
          </w:p>
        </w:tc>
        <w:tc>
          <w:tcPr>
            <w:tcW w:w="447" w:type="pct"/>
            <w:noWrap w:val="0"/>
            <w:vAlign w:val="center"/>
          </w:tcPr>
          <w:p w14:paraId="10166718">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检查</w:t>
            </w:r>
          </w:p>
          <w:p w14:paraId="3A36EF5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记录</w:t>
            </w:r>
          </w:p>
        </w:tc>
        <w:tc>
          <w:tcPr>
            <w:tcW w:w="363" w:type="pct"/>
            <w:noWrap w:val="0"/>
            <w:vAlign w:val="center"/>
          </w:tcPr>
          <w:p w14:paraId="0D3BC7B1">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标准</w:t>
            </w:r>
          </w:p>
          <w:p w14:paraId="17DEAE35">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分值</w:t>
            </w:r>
          </w:p>
        </w:tc>
        <w:tc>
          <w:tcPr>
            <w:tcW w:w="457" w:type="pct"/>
            <w:noWrap w:val="0"/>
            <w:vAlign w:val="center"/>
          </w:tcPr>
          <w:p w14:paraId="54E9361C">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评分</w:t>
            </w:r>
          </w:p>
          <w:p w14:paraId="27F0301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标准</w:t>
            </w:r>
          </w:p>
        </w:tc>
        <w:tc>
          <w:tcPr>
            <w:tcW w:w="251" w:type="pct"/>
            <w:noWrap w:val="0"/>
            <w:vAlign w:val="center"/>
          </w:tcPr>
          <w:p w14:paraId="69592B13">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得分</w:t>
            </w:r>
          </w:p>
        </w:tc>
      </w:tr>
      <w:tr w14:paraId="3D4ED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720" w:hRule="atLeast"/>
        </w:trPr>
        <w:tc>
          <w:tcPr>
            <w:tcW w:w="187" w:type="pct"/>
            <w:vMerge w:val="restart"/>
            <w:noWrap w:val="0"/>
            <w:vAlign w:val="center"/>
          </w:tcPr>
          <w:p w14:paraId="689B7B6C">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p w14:paraId="335703C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防洪</w:t>
            </w:r>
          </w:p>
          <w:p w14:paraId="46A2EB9D">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排水</w:t>
            </w:r>
          </w:p>
          <w:p w14:paraId="18857FEE">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3713F171">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1.调洪库容与安全超高、最小干滩长度</w:t>
            </w:r>
          </w:p>
          <w:p w14:paraId="6777E5AD">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1.1当尾矿库调洪库库容严重不足</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在设计洪水位时</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安全超高和最小干滩长度都不满足设计要求</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将可能出现洪水漫顶。</w:t>
            </w:r>
          </w:p>
        </w:tc>
        <w:tc>
          <w:tcPr>
            <w:tcW w:w="790" w:type="pct"/>
            <w:noWrap w:val="0"/>
            <w:vAlign w:val="center"/>
          </w:tcPr>
          <w:p w14:paraId="0B6DF6E4">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《尾矿库安全规程》第6.9.3条</w:t>
            </w:r>
          </w:p>
        </w:tc>
        <w:tc>
          <w:tcPr>
            <w:tcW w:w="539" w:type="pct"/>
            <w:noWrap w:val="0"/>
            <w:vAlign w:val="center"/>
          </w:tcPr>
          <w:p w14:paraId="39B407F4">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对照设计查现场、</w:t>
            </w:r>
          </w:p>
          <w:p w14:paraId="787E2A71">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图纸</w:t>
            </w:r>
          </w:p>
        </w:tc>
        <w:tc>
          <w:tcPr>
            <w:tcW w:w="447" w:type="pct"/>
            <w:noWrap w:val="0"/>
            <w:vAlign w:val="center"/>
          </w:tcPr>
          <w:p w14:paraId="5EFA3A7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满足设计要求</w:t>
            </w:r>
          </w:p>
        </w:tc>
        <w:tc>
          <w:tcPr>
            <w:tcW w:w="363" w:type="pct"/>
            <w:noWrap w:val="0"/>
            <w:vAlign w:val="center"/>
          </w:tcPr>
          <w:p w14:paraId="09CB324B">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w:t>
            </w:r>
          </w:p>
          <w:p w14:paraId="0283D2AD">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险情</w:t>
            </w:r>
          </w:p>
        </w:tc>
        <w:tc>
          <w:tcPr>
            <w:tcW w:w="457" w:type="pct"/>
            <w:noWrap w:val="0"/>
            <w:vAlign w:val="center"/>
          </w:tcPr>
          <w:p w14:paraId="1533AD5D">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51" w:type="pct"/>
            <w:noWrap w:val="0"/>
            <w:vAlign w:val="center"/>
          </w:tcPr>
          <w:p w14:paraId="4589C7D0">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5833E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720" w:hRule="atLeast"/>
        </w:trPr>
        <w:tc>
          <w:tcPr>
            <w:tcW w:w="187" w:type="pct"/>
            <w:vMerge w:val="continue"/>
            <w:noWrap w:val="0"/>
            <w:vAlign w:val="center"/>
          </w:tcPr>
          <w:p w14:paraId="0BB2002E">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239A96C2">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1.2当尾矿库调洪库库容不足</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在设计洪水位时安全超高和最小干滩长度均不满足设计要求。</w:t>
            </w:r>
          </w:p>
        </w:tc>
        <w:tc>
          <w:tcPr>
            <w:tcW w:w="790" w:type="pct"/>
            <w:noWrap w:val="0"/>
            <w:vAlign w:val="center"/>
          </w:tcPr>
          <w:p w14:paraId="2CE1F841">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《尾矿库安全规程》第6.9.2条</w:t>
            </w:r>
          </w:p>
        </w:tc>
        <w:tc>
          <w:tcPr>
            <w:tcW w:w="539" w:type="pct"/>
            <w:vMerge w:val="restart"/>
            <w:noWrap w:val="0"/>
            <w:vAlign w:val="center"/>
          </w:tcPr>
          <w:p w14:paraId="59E70D6A">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w:t>
            </w:r>
          </w:p>
          <w:p w14:paraId="3E66E16C">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447" w:type="pct"/>
            <w:noWrap w:val="0"/>
            <w:vAlign w:val="center"/>
          </w:tcPr>
          <w:p w14:paraId="4C9BC17B">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满足设计要求</w:t>
            </w:r>
          </w:p>
        </w:tc>
        <w:tc>
          <w:tcPr>
            <w:tcW w:w="363" w:type="pct"/>
            <w:noWrap w:val="0"/>
            <w:vAlign w:val="center"/>
          </w:tcPr>
          <w:p w14:paraId="560E717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w:t>
            </w:r>
          </w:p>
          <w:p w14:paraId="6DE4177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隐患</w:t>
            </w:r>
          </w:p>
        </w:tc>
        <w:tc>
          <w:tcPr>
            <w:tcW w:w="457" w:type="pct"/>
            <w:noWrap w:val="0"/>
            <w:vAlign w:val="center"/>
          </w:tcPr>
          <w:p w14:paraId="19F02B3A">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51" w:type="pct"/>
            <w:noWrap w:val="0"/>
            <w:vAlign w:val="center"/>
          </w:tcPr>
          <w:p w14:paraId="6C12821E">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3B851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720" w:hRule="atLeast"/>
        </w:trPr>
        <w:tc>
          <w:tcPr>
            <w:tcW w:w="187" w:type="pct"/>
            <w:vMerge w:val="continue"/>
            <w:noWrap w:val="0"/>
            <w:vAlign w:val="center"/>
          </w:tcPr>
          <w:p w14:paraId="0C3D724B">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3CB08D3C">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1.3当尾矿库调洪库库容不足</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在设计洪水位时不能同时满足设计规定的安全超高和最小干滩长度要求。</w:t>
            </w:r>
          </w:p>
        </w:tc>
        <w:tc>
          <w:tcPr>
            <w:tcW w:w="790" w:type="pct"/>
            <w:noWrap w:val="0"/>
            <w:vAlign w:val="center"/>
          </w:tcPr>
          <w:p w14:paraId="5071C71A">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《尾矿库安全规程》第6.9.1条</w:t>
            </w:r>
          </w:p>
        </w:tc>
        <w:tc>
          <w:tcPr>
            <w:tcW w:w="539" w:type="pct"/>
            <w:vMerge w:val="continue"/>
            <w:noWrap w:val="0"/>
            <w:vAlign w:val="center"/>
          </w:tcPr>
          <w:p w14:paraId="7CFA17F4">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447" w:type="pct"/>
            <w:noWrap w:val="0"/>
            <w:vAlign w:val="center"/>
          </w:tcPr>
          <w:p w14:paraId="370CF40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满足设计要求</w:t>
            </w:r>
          </w:p>
        </w:tc>
        <w:tc>
          <w:tcPr>
            <w:tcW w:w="363" w:type="pct"/>
            <w:noWrap w:val="0"/>
            <w:vAlign w:val="center"/>
          </w:tcPr>
          <w:p w14:paraId="31BA2846">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一般</w:t>
            </w:r>
          </w:p>
          <w:p w14:paraId="6CC1534E">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隐患</w:t>
            </w:r>
          </w:p>
        </w:tc>
        <w:tc>
          <w:tcPr>
            <w:tcW w:w="457" w:type="pct"/>
            <w:noWrap w:val="0"/>
            <w:vAlign w:val="center"/>
          </w:tcPr>
          <w:p w14:paraId="0525EFF8">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51" w:type="pct"/>
            <w:noWrap w:val="0"/>
            <w:vAlign w:val="center"/>
          </w:tcPr>
          <w:p w14:paraId="44B1D22D">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6B3A9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1356" w:hRule="atLeast"/>
        </w:trPr>
        <w:tc>
          <w:tcPr>
            <w:tcW w:w="187" w:type="pct"/>
            <w:vMerge w:val="continue"/>
            <w:noWrap w:val="0"/>
            <w:vAlign w:val="center"/>
          </w:tcPr>
          <w:p w14:paraId="57D4A320">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6F59D734">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2.排洪系统</w:t>
            </w:r>
          </w:p>
          <w:p w14:paraId="4ADFF121">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2.1尾矿库防洪能力低于设计能力（排洪、排水构筑物结构尺寸低于设计要求）</w:t>
            </w:r>
          </w:p>
          <w:p w14:paraId="2972E01E">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2.2排洪系统严重堵塞或坍塌</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不能排水或排水能力急剧下降。</w:t>
            </w:r>
          </w:p>
          <w:p w14:paraId="5AB5B35C">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2.3排水井显著倾斜</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有倒塌的迹象。</w:t>
            </w:r>
          </w:p>
        </w:tc>
        <w:tc>
          <w:tcPr>
            <w:tcW w:w="790" w:type="pct"/>
            <w:noWrap w:val="0"/>
            <w:vAlign w:val="center"/>
          </w:tcPr>
          <w:p w14:paraId="73A0AB89">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《尾矿库安全规程》第6.9.3条</w:t>
            </w:r>
          </w:p>
        </w:tc>
        <w:tc>
          <w:tcPr>
            <w:tcW w:w="539" w:type="pct"/>
            <w:vMerge w:val="continue"/>
            <w:noWrap w:val="0"/>
            <w:vAlign w:val="center"/>
          </w:tcPr>
          <w:p w14:paraId="333F7ABE">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447" w:type="pct"/>
            <w:noWrap w:val="0"/>
            <w:vAlign w:val="center"/>
          </w:tcPr>
          <w:p w14:paraId="6959E665">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排洪系统符合设计</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运行良好</w:t>
            </w:r>
          </w:p>
        </w:tc>
        <w:tc>
          <w:tcPr>
            <w:tcW w:w="363" w:type="pct"/>
            <w:noWrap w:val="0"/>
            <w:vAlign w:val="center"/>
          </w:tcPr>
          <w:p w14:paraId="7B8FED21">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w:t>
            </w:r>
          </w:p>
          <w:p w14:paraId="4DE6ACA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险情</w:t>
            </w:r>
          </w:p>
        </w:tc>
        <w:tc>
          <w:tcPr>
            <w:tcW w:w="457" w:type="pct"/>
            <w:noWrap w:val="0"/>
            <w:vAlign w:val="center"/>
          </w:tcPr>
          <w:p w14:paraId="4BA7B0AF">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有1项符合</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就为重大险情</w:t>
            </w:r>
          </w:p>
        </w:tc>
        <w:tc>
          <w:tcPr>
            <w:tcW w:w="251" w:type="pct"/>
            <w:noWrap w:val="0"/>
            <w:vAlign w:val="center"/>
          </w:tcPr>
          <w:p w14:paraId="5CF3F84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1A321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919" w:hRule="atLeast"/>
        </w:trPr>
        <w:tc>
          <w:tcPr>
            <w:tcW w:w="187" w:type="pct"/>
            <w:vMerge w:val="continue"/>
            <w:noWrap w:val="0"/>
            <w:vAlign w:val="center"/>
          </w:tcPr>
          <w:p w14:paraId="6EC9A84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17D8D1E1">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2.4排洪系统部分堵塞或坍塌</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排水能力有所降低</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达不到设计要求。</w:t>
            </w:r>
          </w:p>
          <w:p w14:paraId="1F72AC38">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2.5排水井有所倾斜。</w:t>
            </w:r>
          </w:p>
        </w:tc>
        <w:tc>
          <w:tcPr>
            <w:tcW w:w="790" w:type="pct"/>
            <w:noWrap w:val="0"/>
            <w:vAlign w:val="center"/>
          </w:tcPr>
          <w:p w14:paraId="42D0FBCA">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《尾矿库安全规程》第6.9.2条</w:t>
            </w:r>
          </w:p>
        </w:tc>
        <w:tc>
          <w:tcPr>
            <w:tcW w:w="539" w:type="pct"/>
            <w:vMerge w:val="restart"/>
            <w:noWrap w:val="0"/>
            <w:vAlign w:val="center"/>
          </w:tcPr>
          <w:p w14:paraId="2D27B8ED">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447" w:type="pct"/>
            <w:noWrap w:val="0"/>
            <w:vAlign w:val="center"/>
          </w:tcPr>
          <w:p w14:paraId="705167DD">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排洪系统</w:t>
            </w:r>
          </w:p>
          <w:p w14:paraId="6C10ED20">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完好</w:t>
            </w:r>
          </w:p>
        </w:tc>
        <w:tc>
          <w:tcPr>
            <w:tcW w:w="363" w:type="pct"/>
            <w:noWrap w:val="0"/>
            <w:vAlign w:val="center"/>
          </w:tcPr>
          <w:p w14:paraId="3395AEA1">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重大</w:t>
            </w:r>
          </w:p>
          <w:p w14:paraId="51A30760">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隐患</w:t>
            </w:r>
          </w:p>
        </w:tc>
        <w:tc>
          <w:tcPr>
            <w:tcW w:w="457" w:type="pct"/>
            <w:noWrap w:val="0"/>
            <w:vAlign w:val="center"/>
          </w:tcPr>
          <w:p w14:paraId="70FC9554">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有1项符合</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就为重大隐患</w:t>
            </w:r>
          </w:p>
        </w:tc>
        <w:tc>
          <w:tcPr>
            <w:tcW w:w="251" w:type="pct"/>
            <w:noWrap w:val="0"/>
            <w:vAlign w:val="center"/>
          </w:tcPr>
          <w:p w14:paraId="706FFBBC">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4795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268" w:hRule="atLeast"/>
        </w:trPr>
        <w:tc>
          <w:tcPr>
            <w:tcW w:w="187" w:type="pct"/>
            <w:vMerge w:val="continue"/>
            <w:noWrap w:val="0"/>
            <w:vAlign w:val="center"/>
          </w:tcPr>
          <w:p w14:paraId="46917F94">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75215A91">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2.6排水系统出现不影响安全使用的裂缝、腐蚀或磨损。</w:t>
            </w:r>
          </w:p>
        </w:tc>
        <w:tc>
          <w:tcPr>
            <w:tcW w:w="790" w:type="pct"/>
            <w:noWrap w:val="0"/>
            <w:vAlign w:val="center"/>
          </w:tcPr>
          <w:p w14:paraId="2921BC79">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《尾矿库安全规程》第6.9.1条</w:t>
            </w:r>
          </w:p>
        </w:tc>
        <w:tc>
          <w:tcPr>
            <w:tcW w:w="539" w:type="pct"/>
            <w:vMerge w:val="continue"/>
            <w:noWrap w:val="0"/>
            <w:vAlign w:val="center"/>
          </w:tcPr>
          <w:p w14:paraId="4DB3E271">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447" w:type="pct"/>
            <w:noWrap w:val="0"/>
            <w:vAlign w:val="center"/>
          </w:tcPr>
          <w:p w14:paraId="6BA8D428">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排洪系统</w:t>
            </w:r>
          </w:p>
          <w:p w14:paraId="0F9FBAA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完好</w:t>
            </w:r>
          </w:p>
        </w:tc>
        <w:tc>
          <w:tcPr>
            <w:tcW w:w="363" w:type="pct"/>
            <w:noWrap w:val="0"/>
            <w:vAlign w:val="center"/>
          </w:tcPr>
          <w:p w14:paraId="046F5B5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一般</w:t>
            </w:r>
          </w:p>
          <w:p w14:paraId="7B5790D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隐患</w:t>
            </w:r>
          </w:p>
        </w:tc>
        <w:tc>
          <w:tcPr>
            <w:tcW w:w="457" w:type="pct"/>
            <w:noWrap w:val="0"/>
            <w:vAlign w:val="center"/>
          </w:tcPr>
          <w:p w14:paraId="06A6CDFA">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51" w:type="pct"/>
            <w:noWrap w:val="0"/>
            <w:vAlign w:val="center"/>
          </w:tcPr>
          <w:p w14:paraId="1FCCEA74">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w:t>
            </w:r>
          </w:p>
        </w:tc>
      </w:tr>
      <w:tr w14:paraId="28C48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705" w:hRule="atLeast"/>
        </w:trPr>
        <w:tc>
          <w:tcPr>
            <w:tcW w:w="187" w:type="pct"/>
            <w:vMerge w:val="continue"/>
            <w:noWrap w:val="0"/>
            <w:vAlign w:val="center"/>
          </w:tcPr>
          <w:p w14:paraId="6C84FAA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7D8726AB">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3.1库内应在适当地点设置清晰醒目的水位观测标尺</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并标明正常运行水位和警戒水位。</w:t>
            </w:r>
          </w:p>
        </w:tc>
        <w:tc>
          <w:tcPr>
            <w:tcW w:w="790" w:type="pct"/>
            <w:noWrap w:val="0"/>
            <w:vAlign w:val="center"/>
          </w:tcPr>
          <w:p w14:paraId="0272484D">
            <w:pPr>
              <w:bidi w:val="0"/>
              <w:rPr>
                <w:rFonts w:hint="default" w:ascii="Times New Roman" w:hAnsi="Times New Roman" w:eastAsia="宋体" w:cs="Times New Roman"/>
                <w:color w:val="auto"/>
                <w:kern w:val="2"/>
                <w:szCs w:val="21"/>
              </w:rPr>
            </w:pPr>
            <w:bookmarkStart w:id="176" w:name="_Toc11537"/>
            <w:bookmarkStart w:id="177" w:name="_Toc8078"/>
            <w:r>
              <w:rPr>
                <w:rFonts w:hint="default" w:ascii="Times New Roman" w:hAnsi="Times New Roman" w:eastAsia="宋体" w:cs="Times New Roman"/>
                <w:color w:val="auto"/>
                <w:kern w:val="0"/>
                <w:sz w:val="21"/>
                <w:szCs w:val="21"/>
                <w:lang w:val="zh-CN" w:eastAsia="zh-CN"/>
              </w:rPr>
              <w:t>《</w:t>
            </w:r>
            <w:bookmarkStart w:id="178" w:name="_Toc217808581"/>
            <w:bookmarkStart w:id="179" w:name="_Toc234211588"/>
            <w:bookmarkStart w:id="180" w:name="_Toc241681168"/>
            <w:bookmarkStart w:id="181" w:name="_Toc215331725"/>
            <w:bookmarkStart w:id="182" w:name="_Toc254855236"/>
            <w:bookmarkStart w:id="183" w:name="_Toc217992854"/>
            <w:bookmarkStart w:id="184" w:name="_Toc254857127"/>
            <w:bookmarkStart w:id="185" w:name="_Toc242431498"/>
            <w:bookmarkStart w:id="186" w:name="_Toc243102931"/>
            <w:bookmarkStart w:id="187" w:name="_Toc217808842"/>
            <w:bookmarkStart w:id="188" w:name="_Toc234632459"/>
            <w:bookmarkStart w:id="189" w:name="_Toc217919923"/>
            <w:bookmarkStart w:id="190" w:name="_Toc216088241"/>
            <w:r>
              <w:rPr>
                <w:rFonts w:hint="default" w:ascii="Times New Roman" w:hAnsi="Times New Roman" w:eastAsia="宋体" w:cs="Times New Roman"/>
                <w:color w:val="auto"/>
                <w:kern w:val="0"/>
                <w:sz w:val="21"/>
                <w:szCs w:val="21"/>
                <w:lang w:val="zh-CN" w:eastAsia="zh-CN"/>
              </w:rPr>
              <w:t>尾矿库安全监测技术规范</w:t>
            </w:r>
            <w:bookmarkEnd w:id="178"/>
            <w:bookmarkEnd w:id="179"/>
            <w:bookmarkEnd w:id="180"/>
            <w:bookmarkEnd w:id="181"/>
            <w:bookmarkEnd w:id="182"/>
            <w:bookmarkEnd w:id="183"/>
            <w:bookmarkEnd w:id="184"/>
            <w:bookmarkEnd w:id="185"/>
            <w:bookmarkEnd w:id="186"/>
            <w:bookmarkEnd w:id="187"/>
            <w:bookmarkEnd w:id="188"/>
            <w:bookmarkEnd w:id="189"/>
            <w:bookmarkEnd w:id="190"/>
            <w:r>
              <w:rPr>
                <w:rFonts w:hint="default" w:ascii="Times New Roman" w:hAnsi="Times New Roman" w:eastAsia="宋体" w:cs="Times New Roman"/>
                <w:color w:val="auto"/>
                <w:kern w:val="0"/>
                <w:sz w:val="21"/>
                <w:szCs w:val="21"/>
                <w:lang w:val="zh-CN" w:eastAsia="zh-CN"/>
              </w:rPr>
              <w:t>》第8.2.1条</w:t>
            </w:r>
            <w:r>
              <w:rPr>
                <w:rFonts w:hint="eastAsia" w:ascii="Times New Roman" w:hAnsi="Times New Roman" w:cs="Times New Roman"/>
                <w:color w:val="auto"/>
                <w:kern w:val="0"/>
                <w:sz w:val="21"/>
                <w:szCs w:val="21"/>
                <w:lang w:val="zh-CN" w:eastAsia="zh-CN"/>
              </w:rPr>
              <w:t>，</w:t>
            </w:r>
            <w:r>
              <w:rPr>
                <w:rFonts w:hint="default" w:ascii="Times New Roman" w:hAnsi="Times New Roman" w:eastAsia="宋体" w:cs="Times New Roman"/>
                <w:color w:val="auto"/>
                <w:kern w:val="0"/>
                <w:sz w:val="21"/>
                <w:szCs w:val="21"/>
                <w:lang w:val="zh-CN" w:eastAsia="zh-CN"/>
              </w:rPr>
              <w:t>《尾矿库安全规程》第5.5.4、6.4.5条</w:t>
            </w:r>
            <w:bookmarkEnd w:id="176"/>
            <w:bookmarkEnd w:id="177"/>
          </w:p>
        </w:tc>
        <w:tc>
          <w:tcPr>
            <w:tcW w:w="539" w:type="pct"/>
            <w:noWrap w:val="0"/>
            <w:vAlign w:val="center"/>
          </w:tcPr>
          <w:p w14:paraId="316A9D3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447" w:type="pct"/>
            <w:noWrap w:val="0"/>
            <w:vAlign w:val="center"/>
          </w:tcPr>
          <w:p w14:paraId="39279164">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无</w:t>
            </w:r>
          </w:p>
        </w:tc>
        <w:tc>
          <w:tcPr>
            <w:tcW w:w="363" w:type="pct"/>
            <w:noWrap w:val="0"/>
            <w:vAlign w:val="center"/>
          </w:tcPr>
          <w:p w14:paraId="5EC519E8">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2</w:t>
            </w:r>
          </w:p>
        </w:tc>
        <w:tc>
          <w:tcPr>
            <w:tcW w:w="457" w:type="pct"/>
            <w:noWrap w:val="0"/>
            <w:vAlign w:val="center"/>
          </w:tcPr>
          <w:p w14:paraId="6F10D9D3">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缺1项</w:t>
            </w:r>
          </w:p>
          <w:p w14:paraId="4A2F38A4">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扣1分</w:t>
            </w:r>
          </w:p>
        </w:tc>
        <w:tc>
          <w:tcPr>
            <w:tcW w:w="251" w:type="pct"/>
            <w:noWrap w:val="0"/>
            <w:vAlign w:val="center"/>
          </w:tcPr>
          <w:p w14:paraId="62D4173D">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0</w:t>
            </w:r>
          </w:p>
        </w:tc>
      </w:tr>
      <w:tr w14:paraId="45FBD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1092" w:hRule="atLeast"/>
        </w:trPr>
        <w:tc>
          <w:tcPr>
            <w:tcW w:w="187" w:type="pct"/>
            <w:vMerge w:val="continue"/>
            <w:noWrap w:val="0"/>
            <w:vAlign w:val="center"/>
          </w:tcPr>
          <w:p w14:paraId="64E6DD1A">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16C99E51">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3.3应疏浚库区内截洪沟、坝面排水沟及下游排洪（渠）道；</w:t>
            </w:r>
          </w:p>
          <w:p w14:paraId="10E9C8AA">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3.4按设计确定的排洪底坎高程</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将排洪底坎以上1.5倍调洪高度内的档板全部打开；</w:t>
            </w:r>
          </w:p>
          <w:p w14:paraId="12F940F1">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3.5清除排洪口前水面漂浮物；</w:t>
            </w:r>
          </w:p>
        </w:tc>
        <w:tc>
          <w:tcPr>
            <w:tcW w:w="790" w:type="pct"/>
            <w:noWrap w:val="0"/>
            <w:vAlign w:val="center"/>
          </w:tcPr>
          <w:p w14:paraId="48322FE0">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《尾矿库安全规程》第6.4.3条</w:t>
            </w:r>
          </w:p>
        </w:tc>
        <w:tc>
          <w:tcPr>
            <w:tcW w:w="539" w:type="pct"/>
            <w:noWrap w:val="0"/>
            <w:vAlign w:val="center"/>
          </w:tcPr>
          <w:p w14:paraId="3B77BD75">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447" w:type="pct"/>
            <w:noWrap w:val="0"/>
            <w:vAlign w:val="center"/>
          </w:tcPr>
          <w:p w14:paraId="059C5881">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马道排水沟局部未清理</w:t>
            </w:r>
          </w:p>
        </w:tc>
        <w:tc>
          <w:tcPr>
            <w:tcW w:w="363" w:type="pct"/>
            <w:noWrap w:val="0"/>
            <w:vAlign w:val="center"/>
          </w:tcPr>
          <w:p w14:paraId="567F389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6</w:t>
            </w:r>
          </w:p>
        </w:tc>
        <w:tc>
          <w:tcPr>
            <w:tcW w:w="457" w:type="pct"/>
            <w:noWrap w:val="0"/>
            <w:vAlign w:val="center"/>
          </w:tcPr>
          <w:p w14:paraId="089572DA">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1项不符合扣2分</w:t>
            </w:r>
          </w:p>
        </w:tc>
        <w:tc>
          <w:tcPr>
            <w:tcW w:w="251" w:type="pct"/>
            <w:noWrap w:val="0"/>
            <w:vAlign w:val="center"/>
          </w:tcPr>
          <w:p w14:paraId="0BD4220D">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eastAsia"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4</w:t>
            </w:r>
          </w:p>
        </w:tc>
      </w:tr>
      <w:tr w14:paraId="250F3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1092" w:hRule="atLeast"/>
        </w:trPr>
        <w:tc>
          <w:tcPr>
            <w:tcW w:w="187" w:type="pct"/>
            <w:vMerge w:val="continue"/>
            <w:noWrap w:val="0"/>
            <w:vAlign w:val="center"/>
          </w:tcPr>
          <w:p w14:paraId="0664067B">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1DE2F429">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3.6应备足抗洪抢险所需物资</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落实应急救援措施；</w:t>
            </w:r>
          </w:p>
          <w:p w14:paraId="2CDCD83C">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3.7应确保上坝道路、通讯、供电及照明线路可靠和畅通；</w:t>
            </w:r>
          </w:p>
          <w:p w14:paraId="2A1599CE">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3.8及时了解和掌握汛期水情和气象预报情况。</w:t>
            </w:r>
          </w:p>
        </w:tc>
        <w:tc>
          <w:tcPr>
            <w:tcW w:w="790" w:type="pct"/>
            <w:noWrap w:val="0"/>
            <w:vAlign w:val="center"/>
          </w:tcPr>
          <w:p w14:paraId="45EC0716">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《尾矿库安全规程》第6.1.10、9.7.2、9.7.4、10.8条</w:t>
            </w:r>
          </w:p>
        </w:tc>
        <w:tc>
          <w:tcPr>
            <w:tcW w:w="539" w:type="pct"/>
            <w:noWrap w:val="0"/>
            <w:vAlign w:val="center"/>
          </w:tcPr>
          <w:p w14:paraId="28796E4E">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p w14:paraId="0D2A68D6">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和记录</w:t>
            </w:r>
          </w:p>
        </w:tc>
        <w:tc>
          <w:tcPr>
            <w:tcW w:w="447" w:type="pct"/>
            <w:noWrap w:val="0"/>
            <w:vAlign w:val="center"/>
          </w:tcPr>
          <w:p w14:paraId="170C070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抗洪抢险物资不足</w:t>
            </w:r>
          </w:p>
        </w:tc>
        <w:tc>
          <w:tcPr>
            <w:tcW w:w="363" w:type="pct"/>
            <w:noWrap w:val="0"/>
            <w:vAlign w:val="center"/>
          </w:tcPr>
          <w:p w14:paraId="597F72D2">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457" w:type="pct"/>
            <w:noWrap w:val="0"/>
            <w:vAlign w:val="center"/>
          </w:tcPr>
          <w:p w14:paraId="7600276E">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不达要求前2项有1项扣3分</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后1项扣1分</w:t>
            </w:r>
          </w:p>
        </w:tc>
        <w:tc>
          <w:tcPr>
            <w:tcW w:w="251" w:type="pct"/>
            <w:noWrap w:val="0"/>
            <w:vAlign w:val="center"/>
          </w:tcPr>
          <w:p w14:paraId="4522C666">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eastAsia" w:ascii="Times New Roman" w:hAnsi="Times New Roman" w:cs="Times New Roman"/>
                <w:color w:val="auto"/>
                <w:kern w:val="0"/>
                <w:sz w:val="21"/>
                <w:szCs w:val="21"/>
                <w:lang w:val="en-US" w:eastAsia="zh-CN"/>
              </w:rPr>
              <w:t>4</w:t>
            </w:r>
          </w:p>
        </w:tc>
      </w:tr>
      <w:tr w14:paraId="309D7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01" w:hRule="atLeast"/>
        </w:trPr>
        <w:tc>
          <w:tcPr>
            <w:tcW w:w="187" w:type="pct"/>
            <w:vMerge w:val="continue"/>
            <w:noWrap w:val="0"/>
            <w:vAlign w:val="center"/>
          </w:tcPr>
          <w:p w14:paraId="41678633">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088900D9">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3.9不得在尾矿滩面设置泄洪口。</w:t>
            </w:r>
          </w:p>
        </w:tc>
        <w:tc>
          <w:tcPr>
            <w:tcW w:w="790" w:type="pct"/>
            <w:noWrap w:val="0"/>
            <w:vAlign w:val="center"/>
          </w:tcPr>
          <w:p w14:paraId="1A1B61C0">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《冶金矿山尾矿设施管理规程》第4.3.5条</w:t>
            </w:r>
          </w:p>
        </w:tc>
        <w:tc>
          <w:tcPr>
            <w:tcW w:w="539" w:type="pct"/>
            <w:noWrap w:val="0"/>
            <w:vAlign w:val="center"/>
          </w:tcPr>
          <w:p w14:paraId="38937547">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447" w:type="pct"/>
            <w:noWrap w:val="0"/>
            <w:vAlign w:val="center"/>
          </w:tcPr>
          <w:p w14:paraId="6BC40CA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w:t>
            </w:r>
          </w:p>
          <w:p w14:paraId="25D43F9B">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现象</w:t>
            </w:r>
          </w:p>
        </w:tc>
        <w:tc>
          <w:tcPr>
            <w:tcW w:w="363" w:type="pct"/>
            <w:noWrap w:val="0"/>
            <w:vAlign w:val="center"/>
          </w:tcPr>
          <w:p w14:paraId="2572E60A">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457" w:type="pct"/>
            <w:vMerge w:val="restart"/>
            <w:noWrap w:val="0"/>
            <w:vAlign w:val="center"/>
          </w:tcPr>
          <w:p w14:paraId="6552BE08">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w:t>
            </w:r>
          </w:p>
          <w:p w14:paraId="3BC8669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不得分</w:t>
            </w:r>
          </w:p>
        </w:tc>
        <w:tc>
          <w:tcPr>
            <w:tcW w:w="251" w:type="pct"/>
            <w:noWrap w:val="0"/>
            <w:vAlign w:val="center"/>
          </w:tcPr>
          <w:p w14:paraId="4D10C21C">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r>
      <w:tr w14:paraId="5CB41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736" w:hRule="atLeast"/>
        </w:trPr>
        <w:tc>
          <w:tcPr>
            <w:tcW w:w="187" w:type="pct"/>
            <w:vMerge w:val="continue"/>
            <w:noWrap w:val="0"/>
            <w:vAlign w:val="center"/>
          </w:tcPr>
          <w:p w14:paraId="4AFC92E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6B5CC535">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3.10尾矿库排水构筑物停止使用后</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是否按照设计要求进行封堵。</w:t>
            </w:r>
          </w:p>
        </w:tc>
        <w:tc>
          <w:tcPr>
            <w:tcW w:w="790" w:type="pct"/>
            <w:noWrap w:val="0"/>
            <w:vAlign w:val="center"/>
          </w:tcPr>
          <w:p w14:paraId="5E49728E">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《尾矿库安全规程》第6.4.8条</w:t>
            </w:r>
          </w:p>
        </w:tc>
        <w:tc>
          <w:tcPr>
            <w:tcW w:w="539" w:type="pct"/>
            <w:noWrap w:val="0"/>
            <w:vAlign w:val="center"/>
          </w:tcPr>
          <w:p w14:paraId="43F28724">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查设尾矿库工程档案和现场</w:t>
            </w:r>
          </w:p>
        </w:tc>
        <w:tc>
          <w:tcPr>
            <w:tcW w:w="447" w:type="pct"/>
            <w:noWrap w:val="0"/>
            <w:vAlign w:val="center"/>
          </w:tcPr>
          <w:p w14:paraId="3DC64DBE">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无此项</w:t>
            </w:r>
          </w:p>
        </w:tc>
        <w:tc>
          <w:tcPr>
            <w:tcW w:w="363" w:type="pct"/>
            <w:noWrap w:val="0"/>
            <w:vAlign w:val="center"/>
          </w:tcPr>
          <w:p w14:paraId="4DB6A10B">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5</w:t>
            </w:r>
          </w:p>
        </w:tc>
        <w:tc>
          <w:tcPr>
            <w:tcW w:w="457" w:type="pct"/>
            <w:vMerge w:val="continue"/>
            <w:noWrap w:val="0"/>
            <w:vAlign w:val="center"/>
          </w:tcPr>
          <w:p w14:paraId="7E276C91">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51" w:type="pct"/>
            <w:noWrap w:val="0"/>
            <w:vAlign w:val="center"/>
          </w:tcPr>
          <w:p w14:paraId="39283A3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eastAsia="zh-CN"/>
              </w:rPr>
            </w:pPr>
            <w:r>
              <w:rPr>
                <w:rFonts w:hint="default" w:ascii="Times New Roman" w:hAnsi="Times New Roman" w:eastAsia="宋体" w:cs="Times New Roman"/>
                <w:color w:val="auto"/>
                <w:kern w:val="0"/>
                <w:sz w:val="21"/>
                <w:szCs w:val="21"/>
                <w:lang w:val="en-US" w:eastAsia="zh-CN"/>
              </w:rPr>
              <w:t>/</w:t>
            </w:r>
          </w:p>
        </w:tc>
      </w:tr>
      <w:tr w14:paraId="0F132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604" w:hRule="atLeast"/>
        </w:trPr>
        <w:tc>
          <w:tcPr>
            <w:tcW w:w="187" w:type="pct"/>
            <w:vMerge w:val="continue"/>
            <w:noWrap w:val="0"/>
            <w:vAlign w:val="center"/>
          </w:tcPr>
          <w:p w14:paraId="6E70C003">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085A2844">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3.12排水系统是否有变形、位移、损坏现象。</w:t>
            </w:r>
          </w:p>
        </w:tc>
        <w:tc>
          <w:tcPr>
            <w:tcW w:w="790" w:type="pct"/>
            <w:noWrap w:val="0"/>
            <w:vAlign w:val="center"/>
          </w:tcPr>
          <w:p w14:paraId="5FDC765B">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《尾矿库安全规程》第9.2.5条</w:t>
            </w:r>
          </w:p>
        </w:tc>
        <w:tc>
          <w:tcPr>
            <w:tcW w:w="539" w:type="pct"/>
            <w:noWrap w:val="0"/>
            <w:vAlign w:val="center"/>
          </w:tcPr>
          <w:p w14:paraId="3DE0FA3F">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rPr>
              <w:t>查现场</w:t>
            </w:r>
          </w:p>
        </w:tc>
        <w:tc>
          <w:tcPr>
            <w:tcW w:w="447" w:type="pct"/>
            <w:noWrap w:val="0"/>
            <w:vAlign w:val="center"/>
          </w:tcPr>
          <w:p w14:paraId="6489F20D">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完好</w:t>
            </w:r>
          </w:p>
        </w:tc>
        <w:tc>
          <w:tcPr>
            <w:tcW w:w="363" w:type="pct"/>
            <w:noWrap w:val="0"/>
            <w:vAlign w:val="center"/>
          </w:tcPr>
          <w:p w14:paraId="43785DA7">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457" w:type="pct"/>
            <w:vMerge w:val="continue"/>
            <w:noWrap w:val="0"/>
            <w:vAlign w:val="center"/>
          </w:tcPr>
          <w:p w14:paraId="0322C986">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51" w:type="pct"/>
            <w:noWrap w:val="0"/>
            <w:vAlign w:val="center"/>
          </w:tcPr>
          <w:p w14:paraId="3E9BCF94">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r>
      <w:tr w14:paraId="4881A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629" w:hRule="atLeast"/>
        </w:trPr>
        <w:tc>
          <w:tcPr>
            <w:tcW w:w="187" w:type="pct"/>
            <w:vMerge w:val="continue"/>
            <w:noWrap w:val="0"/>
            <w:vAlign w:val="center"/>
          </w:tcPr>
          <w:p w14:paraId="03430540">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1964" w:type="pct"/>
            <w:noWrap w:val="0"/>
            <w:vAlign w:val="top"/>
          </w:tcPr>
          <w:p w14:paraId="464872DF">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pacing w:val="4"/>
                <w:kern w:val="0"/>
                <w:sz w:val="21"/>
                <w:szCs w:val="21"/>
              </w:rPr>
              <w:t>3.13未经技术论证</w:t>
            </w:r>
            <w:r>
              <w:rPr>
                <w:rFonts w:hint="eastAsia" w:ascii="Times New Roman" w:hAnsi="Times New Roman" w:cs="Times New Roman"/>
                <w:color w:val="auto"/>
                <w:spacing w:val="4"/>
                <w:kern w:val="0"/>
                <w:sz w:val="21"/>
                <w:szCs w:val="21"/>
                <w:lang w:eastAsia="zh-CN"/>
              </w:rPr>
              <w:t>，</w:t>
            </w:r>
            <w:r>
              <w:rPr>
                <w:rFonts w:hint="default" w:ascii="Times New Roman" w:hAnsi="Times New Roman" w:eastAsia="宋体" w:cs="Times New Roman"/>
                <w:color w:val="auto"/>
                <w:spacing w:val="4"/>
                <w:kern w:val="0"/>
                <w:sz w:val="21"/>
                <w:szCs w:val="21"/>
              </w:rPr>
              <w:t>不得用常规子坝拦洪。</w:t>
            </w:r>
          </w:p>
        </w:tc>
        <w:tc>
          <w:tcPr>
            <w:tcW w:w="790" w:type="pct"/>
            <w:noWrap w:val="0"/>
            <w:vAlign w:val="center"/>
          </w:tcPr>
          <w:p w14:paraId="7B1270D1">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《尾矿库安全规程》第6.4.3条</w:t>
            </w:r>
          </w:p>
        </w:tc>
        <w:tc>
          <w:tcPr>
            <w:tcW w:w="539" w:type="pct"/>
            <w:noWrap w:val="0"/>
            <w:vAlign w:val="center"/>
          </w:tcPr>
          <w:p w14:paraId="5C5E3C41">
            <w:pPr>
              <w:keepNext w:val="0"/>
              <w:keepLines w:val="0"/>
              <w:pageBreakBefore w:val="0"/>
              <w:kinsoku/>
              <w:wordWrap/>
              <w:overflowPunct/>
              <w:topLinePunct w:val="0"/>
              <w:autoSpaceDE w:val="0"/>
              <w:autoSpaceDN w:val="0"/>
              <w:bidi w:val="0"/>
              <w:adjustRightInd w:val="0"/>
              <w:snapToGrid/>
              <w:spacing w:line="320" w:lineRule="exact"/>
              <w:ind w:firstLine="0" w:firstLineChars="0"/>
              <w:jc w:val="both"/>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对照设计、</w:t>
            </w:r>
          </w:p>
          <w:p w14:paraId="3BB036DB">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现场检查</w:t>
            </w:r>
          </w:p>
        </w:tc>
        <w:tc>
          <w:tcPr>
            <w:tcW w:w="447" w:type="pct"/>
            <w:noWrap w:val="0"/>
            <w:vAlign w:val="center"/>
          </w:tcPr>
          <w:p w14:paraId="45A38408">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无此</w:t>
            </w:r>
          </w:p>
          <w:p w14:paraId="0EF73C66">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现象</w:t>
            </w:r>
          </w:p>
        </w:tc>
        <w:tc>
          <w:tcPr>
            <w:tcW w:w="363" w:type="pct"/>
            <w:noWrap w:val="0"/>
            <w:vAlign w:val="center"/>
          </w:tcPr>
          <w:p w14:paraId="2B2F25DB">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w:t>
            </w:r>
          </w:p>
        </w:tc>
        <w:tc>
          <w:tcPr>
            <w:tcW w:w="457" w:type="pct"/>
            <w:noWrap w:val="0"/>
            <w:vAlign w:val="center"/>
          </w:tcPr>
          <w:p w14:paraId="57DCB6F0">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51" w:type="pct"/>
            <w:noWrap w:val="0"/>
            <w:vAlign w:val="center"/>
          </w:tcPr>
          <w:p w14:paraId="2F0D8AE1">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4</w:t>
            </w:r>
          </w:p>
        </w:tc>
      </w:tr>
      <w:tr w14:paraId="4AA9B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298" w:hRule="atLeast"/>
        </w:trPr>
        <w:tc>
          <w:tcPr>
            <w:tcW w:w="2151" w:type="pct"/>
            <w:gridSpan w:val="2"/>
            <w:noWrap w:val="0"/>
            <w:vAlign w:val="center"/>
          </w:tcPr>
          <w:p w14:paraId="16CAA18E">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小计</w:t>
            </w:r>
          </w:p>
        </w:tc>
        <w:tc>
          <w:tcPr>
            <w:tcW w:w="790" w:type="pct"/>
            <w:noWrap w:val="0"/>
            <w:vAlign w:val="center"/>
          </w:tcPr>
          <w:p w14:paraId="555950C6">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sz w:val="21"/>
                <w:szCs w:val="21"/>
              </w:rPr>
            </w:pPr>
          </w:p>
        </w:tc>
        <w:tc>
          <w:tcPr>
            <w:tcW w:w="539" w:type="pct"/>
            <w:noWrap w:val="0"/>
            <w:vAlign w:val="center"/>
          </w:tcPr>
          <w:p w14:paraId="14D3B50C">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447" w:type="pct"/>
            <w:noWrap w:val="0"/>
            <w:vAlign w:val="center"/>
          </w:tcPr>
          <w:p w14:paraId="73BA024B">
            <w:pPr>
              <w:keepNext w:val="0"/>
              <w:keepLines w:val="0"/>
              <w:pageBreakBefore w:val="0"/>
              <w:kinsoku/>
              <w:wordWrap/>
              <w:overflowPunct/>
              <w:topLinePunct w:val="0"/>
              <w:autoSpaceDE w:val="0"/>
              <w:autoSpaceDN w:val="0"/>
              <w:bidi w:val="0"/>
              <w:adjustRightInd w:val="0"/>
              <w:snapToGrid/>
              <w:spacing w:line="320" w:lineRule="exact"/>
              <w:ind w:firstLine="0" w:firstLineChars="0"/>
              <w:textAlignment w:val="auto"/>
              <w:rPr>
                <w:rFonts w:hint="default" w:ascii="Times New Roman" w:hAnsi="Times New Roman" w:eastAsia="宋体" w:cs="Times New Roman"/>
                <w:color w:val="auto"/>
                <w:kern w:val="0"/>
                <w:sz w:val="21"/>
                <w:szCs w:val="21"/>
                <w:lang w:val="zh-CN"/>
              </w:rPr>
            </w:pPr>
          </w:p>
        </w:tc>
        <w:tc>
          <w:tcPr>
            <w:tcW w:w="363" w:type="pct"/>
            <w:noWrap w:val="0"/>
            <w:vAlign w:val="center"/>
          </w:tcPr>
          <w:p w14:paraId="4C583641">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r>
              <w:rPr>
                <w:rFonts w:hint="eastAsia" w:ascii="Times New Roman" w:hAnsi="Times New Roman" w:cs="Times New Roman"/>
                <w:color w:val="auto"/>
                <w:kern w:val="0"/>
                <w:sz w:val="21"/>
                <w:szCs w:val="21"/>
                <w:lang w:val="en-US" w:eastAsia="zh-CN"/>
              </w:rPr>
              <w:t>3</w:t>
            </w:r>
          </w:p>
        </w:tc>
        <w:tc>
          <w:tcPr>
            <w:tcW w:w="457" w:type="pct"/>
            <w:noWrap w:val="0"/>
            <w:vAlign w:val="center"/>
          </w:tcPr>
          <w:p w14:paraId="0C2711EB">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zh-CN"/>
              </w:rPr>
            </w:pPr>
          </w:p>
        </w:tc>
        <w:tc>
          <w:tcPr>
            <w:tcW w:w="251" w:type="pct"/>
            <w:noWrap w:val="0"/>
            <w:vAlign w:val="center"/>
          </w:tcPr>
          <w:p w14:paraId="2372C615">
            <w:pPr>
              <w:keepNext w:val="0"/>
              <w:keepLines w:val="0"/>
              <w:pageBreakBefore w:val="0"/>
              <w:kinsoku/>
              <w:wordWrap/>
              <w:overflowPunct/>
              <w:topLinePunct w:val="0"/>
              <w:autoSpaceDE w:val="0"/>
              <w:autoSpaceDN w:val="0"/>
              <w:bidi w:val="0"/>
              <w:adjustRightInd w:val="0"/>
              <w:snapToGrid/>
              <w:spacing w:line="32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26</w:t>
            </w:r>
          </w:p>
        </w:tc>
      </w:tr>
    </w:tbl>
    <w:p w14:paraId="47E61DD5">
      <w:pPr>
        <w:pStyle w:val="5"/>
        <w:bidi w:val="0"/>
        <w:rPr>
          <w:rFonts w:hint="default" w:ascii="Times New Roman" w:hAnsi="Times New Roman" w:cs="Times New Roman"/>
          <w:color w:val="auto"/>
          <w:lang w:val="en-US" w:eastAsia="zh-CN"/>
        </w:rPr>
      </w:pPr>
      <w:bookmarkStart w:id="191" w:name="_Toc16227"/>
      <w:r>
        <w:rPr>
          <w:rFonts w:hint="default" w:ascii="Times New Roman" w:hAnsi="Times New Roman" w:cs="Times New Roman"/>
          <w:color w:val="auto"/>
          <w:lang w:val="en-US" w:eastAsia="zh-CN"/>
        </w:rPr>
        <w:t>5.3.2调洪演算</w:t>
      </w:r>
      <w:bookmarkEnd w:id="191"/>
    </w:p>
    <w:p w14:paraId="451AFFCE">
      <w:pPr>
        <w:rPr>
          <w:rFonts w:hint="default"/>
          <w:lang w:val="en-US" w:eastAsia="zh-CN"/>
        </w:rPr>
      </w:pPr>
      <w:r>
        <w:rPr>
          <w:rFonts w:hint="default"/>
          <w:lang w:val="en-US" w:eastAsia="zh-CN"/>
        </w:rPr>
        <w:t>本节内容引用《江西临川鲁金矿业有限公司临川茅排金矿庄前尾矿库调洪演算报告（</w:t>
      </w:r>
      <w:r>
        <w:rPr>
          <w:rFonts w:hint="default" w:ascii="Times New Roman" w:hAnsi="Times New Roman" w:cs="Times New Roman"/>
          <w:lang w:val="en-US" w:eastAsia="zh-CN"/>
        </w:rPr>
        <w:t>2024年度）》（金建工程设计有限公司，2024年3月</w:t>
      </w:r>
      <w:r>
        <w:rPr>
          <w:rFonts w:hint="default"/>
          <w:lang w:val="en-US" w:eastAsia="zh-CN"/>
        </w:rPr>
        <w:t>）成果</w:t>
      </w:r>
      <w:r>
        <w:rPr>
          <w:rFonts w:hint="eastAsia"/>
          <w:lang w:val="en-US" w:eastAsia="zh-CN"/>
        </w:rPr>
        <w:t>。</w:t>
      </w:r>
    </w:p>
    <w:p w14:paraId="78C10736">
      <w:pPr>
        <w:bidi w:val="0"/>
      </w:pPr>
      <w:r>
        <w:rPr>
          <w:rFonts w:hint="eastAsia"/>
          <w:lang w:val="en-US" w:eastAsia="zh-CN"/>
        </w:rPr>
        <w:t xml:space="preserve">1. 现行规范标准 </w:t>
      </w:r>
    </w:p>
    <w:p w14:paraId="53E73E35">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rPr>
      </w:pPr>
      <w:r>
        <w:rPr>
          <w:lang w:val="en-US" w:eastAsia="zh-CN"/>
        </w:rPr>
        <w:t>根据《尾矿设施设计规范》</w:t>
      </w:r>
      <w:r>
        <w:rPr>
          <w:rFonts w:hint="eastAsia"/>
          <w:lang w:val="en-US" w:eastAsia="zh-CN"/>
        </w:rPr>
        <w:t>（</w:t>
      </w:r>
      <w:r>
        <w:rPr>
          <w:rFonts w:hint="default" w:ascii="Times New Roman" w:hAnsi="Times New Roman" w:cs="Times New Roman"/>
          <w:lang w:val="en-US" w:eastAsia="zh-CN"/>
        </w:rPr>
        <w:t>GB50863-2013</w:t>
      </w:r>
      <w:r>
        <w:rPr>
          <w:rFonts w:hint="eastAsia"/>
          <w:lang w:val="en-US" w:eastAsia="zh-CN"/>
        </w:rPr>
        <w:t>）</w:t>
      </w:r>
      <w:r>
        <w:rPr>
          <w:rFonts w:hint="default" w:ascii="Times New Roman" w:hAnsi="Times New Roman" w:cs="Times New Roman"/>
          <w:lang w:val="en-US" w:eastAsia="zh-CN"/>
        </w:rPr>
        <w:t>规定，尾矿库各使用期的防洪标准应根据各使用期库的等别，库容、坝高、使用年限及对下游造成的危害等因素，分别按表 5.3.2-1确定。</w:t>
      </w:r>
    </w:p>
    <w:p w14:paraId="72B5391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表5.3.2-1 尾矿库防洪标准</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1546"/>
        <w:gridCol w:w="1546"/>
        <w:gridCol w:w="1546"/>
        <w:gridCol w:w="1546"/>
        <w:gridCol w:w="1546"/>
      </w:tblGrid>
      <w:tr w14:paraId="2C56B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vAlign w:val="center"/>
          </w:tcPr>
          <w:p w14:paraId="36765CEF">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尾矿库各使用期等别</w:t>
            </w:r>
          </w:p>
        </w:tc>
        <w:tc>
          <w:tcPr>
            <w:tcW w:w="833" w:type="pct"/>
            <w:vAlign w:val="center"/>
          </w:tcPr>
          <w:p w14:paraId="3B014576">
            <w:pPr>
              <w:pStyle w:val="2"/>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一</w:t>
            </w:r>
          </w:p>
        </w:tc>
        <w:tc>
          <w:tcPr>
            <w:tcW w:w="833" w:type="pct"/>
            <w:vAlign w:val="center"/>
          </w:tcPr>
          <w:p w14:paraId="1FD0BB5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二</w:t>
            </w:r>
          </w:p>
        </w:tc>
        <w:tc>
          <w:tcPr>
            <w:tcW w:w="833" w:type="pct"/>
            <w:vAlign w:val="center"/>
          </w:tcPr>
          <w:p w14:paraId="1411873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三</w:t>
            </w:r>
          </w:p>
        </w:tc>
        <w:tc>
          <w:tcPr>
            <w:tcW w:w="833" w:type="pct"/>
            <w:vAlign w:val="center"/>
          </w:tcPr>
          <w:p w14:paraId="60322FB4">
            <w:pPr>
              <w:pStyle w:val="2"/>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四</w:t>
            </w:r>
          </w:p>
        </w:tc>
        <w:tc>
          <w:tcPr>
            <w:tcW w:w="833" w:type="pct"/>
            <w:vAlign w:val="center"/>
          </w:tcPr>
          <w:p w14:paraId="6CA4620A">
            <w:pPr>
              <w:pStyle w:val="2"/>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五</w:t>
            </w:r>
          </w:p>
        </w:tc>
      </w:tr>
      <w:tr w14:paraId="69277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jc w:val="center"/>
        </w:trPr>
        <w:tc>
          <w:tcPr>
            <w:tcW w:w="833" w:type="pct"/>
            <w:vAlign w:val="center"/>
          </w:tcPr>
          <w:p w14:paraId="3F0601C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洪水重现期（年）</w:t>
            </w:r>
          </w:p>
        </w:tc>
        <w:tc>
          <w:tcPr>
            <w:tcW w:w="833" w:type="pct"/>
            <w:vAlign w:val="center"/>
          </w:tcPr>
          <w:p w14:paraId="6ECCD12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rPr>
            </w:pPr>
            <w:r>
              <w:rPr>
                <w:rFonts w:hint="eastAsia" w:ascii="宋体" w:hAnsi="宋体" w:eastAsia="宋体" w:cs="宋体"/>
                <w:color w:val="000000"/>
                <w:kern w:val="0"/>
                <w:sz w:val="24"/>
                <w:szCs w:val="24"/>
                <w:lang w:val="en-US" w:eastAsia="zh-CN" w:bidi="ar"/>
              </w:rPr>
              <w:t>1000～5000</w:t>
            </w:r>
          </w:p>
          <w:p w14:paraId="5A4DA78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或PMF</w:t>
            </w:r>
          </w:p>
        </w:tc>
        <w:tc>
          <w:tcPr>
            <w:tcW w:w="833" w:type="pct"/>
            <w:vAlign w:val="center"/>
          </w:tcPr>
          <w:p w14:paraId="16BEF74B">
            <w:pPr>
              <w:pStyle w:val="2"/>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500～1000</w:t>
            </w:r>
          </w:p>
        </w:tc>
        <w:tc>
          <w:tcPr>
            <w:tcW w:w="833" w:type="pct"/>
            <w:vAlign w:val="center"/>
          </w:tcPr>
          <w:p w14:paraId="070CCB6F">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200～500</w:t>
            </w:r>
          </w:p>
        </w:tc>
        <w:tc>
          <w:tcPr>
            <w:tcW w:w="833" w:type="pct"/>
            <w:vAlign w:val="center"/>
          </w:tcPr>
          <w:p w14:paraId="246F938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100～200</w:t>
            </w:r>
          </w:p>
        </w:tc>
        <w:tc>
          <w:tcPr>
            <w:tcW w:w="833" w:type="pct"/>
            <w:vAlign w:val="center"/>
          </w:tcPr>
          <w:p w14:paraId="2D5BAD8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vertAlign w:val="baseline"/>
              </w:rPr>
            </w:pPr>
            <w:r>
              <w:rPr>
                <w:rFonts w:hint="eastAsia" w:ascii="宋体" w:hAnsi="宋体" w:eastAsia="宋体" w:cs="宋体"/>
                <w:color w:val="000000"/>
                <w:kern w:val="0"/>
                <w:sz w:val="24"/>
                <w:szCs w:val="24"/>
                <w:lang w:val="en-US" w:eastAsia="zh-CN" w:bidi="ar"/>
              </w:rPr>
              <w:t>100</w:t>
            </w:r>
          </w:p>
        </w:tc>
      </w:tr>
    </w:tbl>
    <w:p w14:paraId="55210009">
      <w:pPr>
        <w:bidi w:val="0"/>
      </w:pPr>
      <w:r>
        <w:rPr>
          <w:rFonts w:hint="default" w:ascii="Times New Roman" w:hAnsi="Times New Roman" w:cs="Times New Roman"/>
          <w:lang w:val="en-US" w:eastAsia="zh-CN"/>
        </w:rPr>
        <w:t>目前尾矿坝坝顶高程为233.0m，滩顶高程为230.9m，库内水面高程为 229.65m，排水斜槽现状进水口高程为229.5m，溢洪道进水口底板高程为 231.0m，尾矿库总库容为 12.02×10</w:t>
      </w:r>
      <w:r>
        <w:rPr>
          <w:rFonts w:hint="default" w:ascii="Times New Roman" w:hAnsi="Times New Roman" w:cs="Times New Roman"/>
          <w:vertAlign w:val="superscript"/>
          <w:lang w:val="en-US" w:eastAsia="zh-CN"/>
        </w:rPr>
        <w:t>4</w:t>
      </w:r>
      <w:r>
        <w:rPr>
          <w:rFonts w:hint="default" w:ascii="Times New Roman" w:hAnsi="Times New Roman" w:cs="Times New Roman"/>
          <w:lang w:val="en-US" w:eastAsia="zh-CN"/>
        </w:rPr>
        <w:t xml:space="preserve"> 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，尾矿库为五等库，防洪标准按照 100 年一遇。汇水面积为 1.078km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w:t>
      </w:r>
    </w:p>
    <w:p w14:paraId="7700AFD7">
      <w:pPr>
        <w:keepNext w:val="0"/>
        <w:keepLines w:val="0"/>
        <w:widowControl/>
        <w:suppressLineNumbers w:val="0"/>
        <w:jc w:val="left"/>
      </w:pPr>
      <w:r>
        <w:rPr>
          <w:rFonts w:hint="default" w:ascii="Times New Roman" w:hAnsi="Times New Roman" w:eastAsia="宋体" w:cs="Times New Roman"/>
          <w:b w:val="0"/>
          <w:bCs w:val="0"/>
          <w:color w:val="000000"/>
          <w:kern w:val="0"/>
          <w:sz w:val="28"/>
          <w:szCs w:val="28"/>
          <w:lang w:val="en-US" w:eastAsia="zh-CN" w:bidi="ar"/>
        </w:rPr>
        <w:t>2</w:t>
      </w:r>
      <w:r>
        <w:rPr>
          <w:rFonts w:hint="eastAsia" w:ascii="宋体" w:hAnsi="宋体" w:eastAsia="宋体" w:cs="宋体"/>
          <w:b w:val="0"/>
          <w:bCs w:val="0"/>
          <w:color w:val="000000"/>
          <w:kern w:val="0"/>
          <w:sz w:val="28"/>
          <w:szCs w:val="28"/>
          <w:lang w:val="en-US" w:eastAsia="zh-CN" w:bidi="ar"/>
        </w:rPr>
        <w:t>. 原设计防洪标准</w:t>
      </w:r>
      <w:r>
        <w:rPr>
          <w:rFonts w:hint="eastAsia" w:ascii="宋体" w:hAnsi="宋体" w:eastAsia="宋体" w:cs="宋体"/>
          <w:b/>
          <w:bCs/>
          <w:color w:val="000000"/>
          <w:kern w:val="0"/>
          <w:sz w:val="28"/>
          <w:szCs w:val="28"/>
          <w:lang w:val="en-US" w:eastAsia="zh-CN" w:bidi="ar"/>
        </w:rPr>
        <w:t xml:space="preserve"> </w:t>
      </w:r>
    </w:p>
    <w:p w14:paraId="6E6FFCA8">
      <w:pPr>
        <w:bidi w:val="0"/>
      </w:pPr>
      <w:r>
        <w:rPr>
          <w:lang w:val="en-US" w:eastAsia="zh-CN"/>
        </w:rPr>
        <w:t xml:space="preserve">查阅尾矿库《整改设计》，尾矿库防洪标准为：采用 100 年一遇。 </w:t>
      </w:r>
    </w:p>
    <w:p w14:paraId="6DFD01AA">
      <w:pPr>
        <w:bidi w:val="0"/>
        <w:rPr>
          <w:rFonts w:hint="default" w:ascii="Times New Roman" w:hAnsi="Times New Roman" w:cs="Times New Roman"/>
        </w:rPr>
      </w:pPr>
      <w:r>
        <w:rPr>
          <w:rFonts w:hint="default" w:ascii="Times New Roman" w:hAnsi="Times New Roman" w:cs="Times New Roman"/>
          <w:lang w:val="en-US" w:eastAsia="zh-CN"/>
        </w:rPr>
        <w:t xml:space="preserve">3. 本次调洪演算使用标准 </w:t>
      </w:r>
    </w:p>
    <w:p w14:paraId="39E69DE8">
      <w:pPr>
        <w:bidi w:val="0"/>
      </w:pPr>
      <w:r>
        <w:rPr>
          <w:lang w:val="en-US" w:eastAsia="zh-CN"/>
        </w:rPr>
        <w:t>针对该尾矿库现状等别，原设计防洪标准与现行《尾矿设施设计规范》</w:t>
      </w:r>
      <w:r>
        <w:rPr>
          <w:rFonts w:hint="eastAsia"/>
          <w:lang w:val="en-US" w:eastAsia="zh-CN"/>
        </w:rPr>
        <w:t>（</w:t>
      </w:r>
      <w:r>
        <w:rPr>
          <w:rFonts w:hint="default" w:ascii="Times New Roman" w:hAnsi="Times New Roman" w:cs="Times New Roman"/>
          <w:lang w:val="en-US" w:eastAsia="zh-CN"/>
        </w:rPr>
        <w:t>GB50863-2013</w:t>
      </w:r>
      <w:r>
        <w:rPr>
          <w:rFonts w:hint="eastAsia"/>
          <w:lang w:val="en-US" w:eastAsia="zh-CN"/>
        </w:rPr>
        <w:t>）</w:t>
      </w:r>
      <w:r>
        <w:rPr>
          <w:lang w:val="en-US" w:eastAsia="zh-CN"/>
        </w:rPr>
        <w:t xml:space="preserve">标准一致，满足规范要求。 </w:t>
      </w:r>
    </w:p>
    <w:p w14:paraId="42AF66A6">
      <w:pPr>
        <w:bidi w:val="0"/>
      </w:pPr>
      <w:r>
        <w:rPr>
          <w:lang w:val="en-US" w:eastAsia="zh-CN"/>
        </w:rPr>
        <w:t>庄前尾矿库尾矿坝为一次性建坝，为挡水坝，根据《碾压式土石坝设计规范》</w:t>
      </w:r>
      <w:r>
        <w:rPr>
          <w:rFonts w:hint="eastAsia"/>
          <w:lang w:val="en-US" w:eastAsia="zh-CN"/>
        </w:rPr>
        <w:t>（</w:t>
      </w:r>
      <w:r>
        <w:rPr>
          <w:rFonts w:hint="default" w:ascii="Times New Roman" w:hAnsi="Times New Roman" w:cs="Times New Roman"/>
          <w:lang w:val="en-US" w:eastAsia="zh-CN"/>
        </w:rPr>
        <w:t>SL274-2020</w:t>
      </w:r>
      <w:r>
        <w:rPr>
          <w:rFonts w:hint="eastAsia"/>
          <w:lang w:val="en-US" w:eastAsia="zh-CN"/>
        </w:rPr>
        <w:t>）</w:t>
      </w:r>
      <w:r>
        <w:rPr>
          <w:lang w:val="en-US" w:eastAsia="zh-CN"/>
        </w:rPr>
        <w:t xml:space="preserve">，尾矿坝坝顶在静水位以上的超高应按下式确定： </w:t>
      </w:r>
    </w:p>
    <w:p w14:paraId="6024388C">
      <w:pPr>
        <w:keepNext w:val="0"/>
        <w:keepLines w:val="0"/>
        <w:widowControl/>
        <w:suppressLineNumbers w:val="0"/>
        <w:jc w:val="left"/>
      </w:pPr>
      <w:r>
        <w:rPr>
          <w:rFonts w:ascii="Cambria Math" w:hAnsi="Cambria Math" w:eastAsia="Cambria Math" w:cs="Cambria Math"/>
          <w:color w:val="000000"/>
          <w:kern w:val="0"/>
          <w:sz w:val="28"/>
          <w:szCs w:val="28"/>
          <w:lang w:val="en-US" w:eastAsia="zh-CN" w:bidi="ar"/>
        </w:rPr>
        <w:t>𝑦=𝑅+𝑒+𝐴</w:t>
      </w:r>
    </w:p>
    <w:p w14:paraId="4AA2D226">
      <w:pPr>
        <w:bidi w:val="0"/>
        <w:rPr>
          <w:rFonts w:hint="default" w:ascii="Times New Roman" w:hAnsi="Times New Roman" w:cs="Times New Roman"/>
        </w:rPr>
      </w:pPr>
      <w:r>
        <w:rPr>
          <w:rFonts w:hint="default" w:ascii="Times New Roman" w:hAnsi="Times New Roman" w:cs="Times New Roman"/>
          <w:lang w:val="en-US" w:eastAsia="zh-CN"/>
        </w:rPr>
        <w:t>式中：y－坝顶超高，m；</w:t>
      </w:r>
    </w:p>
    <w:p w14:paraId="3B9BF6BF">
      <w:pPr>
        <w:bidi w:val="0"/>
        <w:rPr>
          <w:rFonts w:hint="default" w:ascii="Times New Roman" w:hAnsi="Times New Roman" w:cs="Times New Roman"/>
        </w:rPr>
      </w:pPr>
      <w:r>
        <w:rPr>
          <w:rFonts w:hint="default" w:ascii="Times New Roman" w:hAnsi="Times New Roman" w:cs="Times New Roman"/>
          <w:lang w:val="en-US" w:eastAsia="zh-CN"/>
        </w:rPr>
        <w:t xml:space="preserve">R－最大波浪在坝坡上的爬高，m； </w:t>
      </w:r>
    </w:p>
    <w:p w14:paraId="4F3FDEF6">
      <w:pPr>
        <w:bidi w:val="0"/>
        <w:rPr>
          <w:rFonts w:hint="default" w:ascii="Times New Roman" w:hAnsi="Times New Roman" w:cs="Times New Roman"/>
        </w:rPr>
      </w:pPr>
      <w:r>
        <w:rPr>
          <w:rFonts w:hint="default" w:ascii="Times New Roman" w:hAnsi="Times New Roman" w:cs="Times New Roman"/>
          <w:lang w:val="en-US" w:eastAsia="zh-CN"/>
        </w:rPr>
        <w:t xml:space="preserve">e－最大风壅水面高度，m； </w:t>
      </w:r>
    </w:p>
    <w:p w14:paraId="3A4EB797">
      <w:pPr>
        <w:keepNext w:val="0"/>
        <w:keepLines w:val="0"/>
        <w:widowControl/>
        <w:suppressLineNumbers w:val="0"/>
        <w:jc w:val="left"/>
      </w:pPr>
      <w:r>
        <w:rPr>
          <w:rFonts w:hint="default" w:ascii="Times New Roman" w:hAnsi="Times New Roman" w:cs="Times New Roman"/>
          <w:lang w:val="en-US" w:eastAsia="zh-CN"/>
        </w:rPr>
        <w:t>A－安全加高，m，取0.3m。</w:t>
      </w:r>
    </w:p>
    <w:p w14:paraId="3CD7B437">
      <w:pPr>
        <w:bidi w:val="0"/>
        <w:rPr>
          <w:rFonts w:hint="default" w:ascii="Times New Roman" w:hAnsi="Times New Roman" w:cs="Times New Roman"/>
        </w:rPr>
      </w:pPr>
      <w:r>
        <w:rPr>
          <w:rFonts w:hint="default" w:ascii="Times New Roman" w:hAnsi="Times New Roman" w:cs="Times New Roman"/>
          <w:lang w:val="en-US" w:eastAsia="zh-CN"/>
        </w:rPr>
        <w:t>根据计算，尾矿库最大风雍水面高度为0.0008m，最大波浪爬高为 0.371m，安全加高为0.3m，则安全超高y=R+e+A=0.001+0.371+0.3=0.672m。</w:t>
      </w:r>
    </w:p>
    <w:p w14:paraId="1F26A7C3">
      <w:pPr>
        <w:bidi w:val="0"/>
        <w:rPr>
          <w:rFonts w:hint="default" w:ascii="Times New Roman" w:hAnsi="Times New Roman" w:cs="Times New Roman"/>
        </w:rPr>
      </w:pPr>
      <w:r>
        <w:rPr>
          <w:rFonts w:hint="default" w:ascii="Times New Roman" w:hAnsi="Times New Roman" w:cs="Times New Roman"/>
          <w:lang w:val="en-US" w:eastAsia="zh-CN"/>
        </w:rPr>
        <w:t>本次调洪演算按防洪标准100年一遇进行计算，最小安全超高为0.68m。</w:t>
      </w:r>
    </w:p>
    <w:p w14:paraId="7BC0A88F">
      <w:pPr>
        <w:bidi w:val="0"/>
        <w:rPr>
          <w:rFonts w:hint="default" w:ascii="Times New Roman" w:hAnsi="Times New Roman" w:cs="Times New Roman"/>
        </w:rPr>
      </w:pPr>
      <w:r>
        <w:rPr>
          <w:rFonts w:hint="default" w:ascii="Times New Roman" w:hAnsi="Times New Roman" w:cs="Times New Roman"/>
          <w:lang w:val="en-US" w:eastAsia="zh-CN"/>
        </w:rPr>
        <w:t>4.洪水计算</w:t>
      </w:r>
    </w:p>
    <w:p w14:paraId="00D09A46">
      <w:pPr>
        <w:bidi w:val="0"/>
        <w:rPr>
          <w:rFonts w:hint="default" w:ascii="Times New Roman" w:hAnsi="Times New Roman" w:cs="Times New Roman"/>
          <w:lang w:val="en-US" w:eastAsia="zh-CN"/>
        </w:rPr>
      </w:pPr>
      <w:r>
        <w:rPr>
          <w:rFonts w:hint="default" w:ascii="Times New Roman" w:hAnsi="Times New Roman" w:cs="Times New Roman"/>
          <w:lang w:val="en-US" w:eastAsia="zh-CN"/>
        </w:rPr>
        <w:t>查阅《江西省临川鲁金矿业有限公司茅排金矿庄前尾矿库整改设计安全专篇》，尾矿库汇水面积为1.078km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，本次洪水计算采用此汇水面积，尾矿库汇水区地形参数见表5.3.2-2。</w:t>
      </w:r>
    </w:p>
    <w:p w14:paraId="22671E4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表5.3.2-2 尾矿库洪水计算地形参数表</w:t>
      </w: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1855"/>
        <w:gridCol w:w="1855"/>
        <w:gridCol w:w="1855"/>
        <w:gridCol w:w="1855"/>
        <w:gridCol w:w="1856"/>
      </w:tblGrid>
      <w:tr w14:paraId="51308F8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03" w:hRule="atLeast"/>
          <w:jc w:val="center"/>
        </w:trPr>
        <w:tc>
          <w:tcPr>
            <w:tcW w:w="1855" w:type="dxa"/>
            <w:tcBorders>
              <w:tl2br w:val="nil"/>
              <w:tr2bl w:val="nil"/>
            </w:tcBorders>
            <w:vAlign w:val="center"/>
          </w:tcPr>
          <w:p w14:paraId="3560E01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设计频率</w:t>
            </w:r>
          </w:p>
        </w:tc>
        <w:tc>
          <w:tcPr>
            <w:tcW w:w="1855" w:type="dxa"/>
            <w:tcBorders>
              <w:tl2br w:val="nil"/>
              <w:tr2bl w:val="nil"/>
            </w:tcBorders>
            <w:vAlign w:val="center"/>
          </w:tcPr>
          <w:p w14:paraId="583DC30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汇水面积</w:t>
            </w:r>
          </w:p>
          <w:p w14:paraId="2D837A0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（km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lang w:val="en-US" w:eastAsia="zh-CN"/>
              </w:rPr>
              <w:t>）</w:t>
            </w:r>
          </w:p>
        </w:tc>
        <w:tc>
          <w:tcPr>
            <w:tcW w:w="1855" w:type="dxa"/>
            <w:tcBorders>
              <w:tl2br w:val="nil"/>
              <w:tr2bl w:val="nil"/>
            </w:tcBorders>
            <w:vAlign w:val="center"/>
          </w:tcPr>
          <w:p w14:paraId="549D9D7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主河槽长</w:t>
            </w:r>
          </w:p>
          <w:p w14:paraId="189DD30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（km）</w:t>
            </w:r>
          </w:p>
        </w:tc>
        <w:tc>
          <w:tcPr>
            <w:tcW w:w="1855" w:type="dxa"/>
            <w:tcBorders>
              <w:tl2br w:val="nil"/>
              <w:tr2bl w:val="nil"/>
            </w:tcBorders>
            <w:vAlign w:val="center"/>
          </w:tcPr>
          <w:p w14:paraId="514CAE8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河槽加权</w:t>
            </w:r>
          </w:p>
          <w:p w14:paraId="3B7B0B0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平均坡降</w:t>
            </w:r>
          </w:p>
        </w:tc>
        <w:tc>
          <w:tcPr>
            <w:tcW w:w="1856" w:type="dxa"/>
            <w:tcBorders>
              <w:tl2br w:val="nil"/>
              <w:tr2bl w:val="nil"/>
            </w:tcBorders>
            <w:vAlign w:val="center"/>
          </w:tcPr>
          <w:p w14:paraId="2C54229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汇流</w:t>
            </w:r>
          </w:p>
          <w:p w14:paraId="71A8592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参数</w:t>
            </w:r>
          </w:p>
        </w:tc>
      </w:tr>
      <w:tr w14:paraId="3C88BCD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855" w:type="dxa"/>
            <w:tcBorders>
              <w:tl2br w:val="nil"/>
              <w:tr2bl w:val="nil"/>
            </w:tcBorders>
            <w:vAlign w:val="top"/>
          </w:tcPr>
          <w:p w14:paraId="437B51F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100 年</w:t>
            </w:r>
          </w:p>
        </w:tc>
        <w:tc>
          <w:tcPr>
            <w:tcW w:w="1855" w:type="dxa"/>
            <w:tcBorders>
              <w:tl2br w:val="nil"/>
              <w:tr2bl w:val="nil"/>
            </w:tcBorders>
            <w:vAlign w:val="top"/>
          </w:tcPr>
          <w:p w14:paraId="7F6126E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1.078</w:t>
            </w:r>
          </w:p>
        </w:tc>
        <w:tc>
          <w:tcPr>
            <w:tcW w:w="1855" w:type="dxa"/>
            <w:tcBorders>
              <w:tl2br w:val="nil"/>
              <w:tr2bl w:val="nil"/>
            </w:tcBorders>
            <w:vAlign w:val="top"/>
          </w:tcPr>
          <w:p w14:paraId="24E2CB9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1.78</w:t>
            </w:r>
          </w:p>
        </w:tc>
        <w:tc>
          <w:tcPr>
            <w:tcW w:w="1855" w:type="dxa"/>
            <w:tcBorders>
              <w:tl2br w:val="nil"/>
              <w:tr2bl w:val="nil"/>
            </w:tcBorders>
            <w:vAlign w:val="top"/>
          </w:tcPr>
          <w:p w14:paraId="7135111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0.049</w:t>
            </w:r>
          </w:p>
        </w:tc>
        <w:tc>
          <w:tcPr>
            <w:tcW w:w="1856" w:type="dxa"/>
            <w:tcBorders>
              <w:tl2br w:val="nil"/>
              <w:tr2bl w:val="nil"/>
            </w:tcBorders>
            <w:vAlign w:val="top"/>
          </w:tcPr>
          <w:p w14:paraId="569D766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0.347</w:t>
            </w:r>
          </w:p>
        </w:tc>
      </w:tr>
    </w:tbl>
    <w:p w14:paraId="5FC021CD">
      <w:pPr>
        <w:bidi w:val="0"/>
        <w:rPr>
          <w:rFonts w:hint="default" w:ascii="Times New Roman" w:hAnsi="Times New Roman" w:cs="Times New Roman"/>
        </w:rPr>
      </w:pPr>
      <w:r>
        <w:rPr>
          <w:rFonts w:hint="default" w:ascii="Times New Roman" w:hAnsi="Times New Roman" w:cs="Times New Roman"/>
          <w:lang w:val="en-US" w:eastAsia="zh-CN"/>
        </w:rPr>
        <w:t>根据《江西省暴雨洪水查算手册》（江西省水文局，2010年10月）及1：1000 地形图，查算求得洪水计算主要参数：</w:t>
      </w:r>
    </w:p>
    <w:p w14:paraId="07C52331">
      <w:pPr>
        <w:bidi w:val="0"/>
        <w:rPr>
          <w:rFonts w:hint="default" w:ascii="Times New Roman" w:hAnsi="Times New Roman" w:cs="Times New Roman"/>
        </w:rPr>
      </w:pPr>
      <w:r>
        <w:rPr>
          <w:rFonts w:hint="default" w:ascii="Times New Roman" w:hAnsi="Times New Roman" w:cs="Times New Roman"/>
          <w:lang w:val="en-US" w:eastAsia="zh-CN"/>
        </w:rPr>
        <w:t>年最大24小时点暴雨均值：H</w:t>
      </w:r>
      <w:r>
        <w:rPr>
          <w:rFonts w:hint="default" w:ascii="Times New Roman" w:hAnsi="Times New Roman" w:cs="Times New Roman"/>
          <w:vertAlign w:val="subscript"/>
          <w:lang w:val="en-US" w:eastAsia="zh-CN"/>
        </w:rPr>
        <w:t>24</w:t>
      </w:r>
      <w:r>
        <w:rPr>
          <w:rFonts w:hint="default" w:ascii="Times New Roman" w:hAnsi="Times New Roman" w:cs="Times New Roman"/>
          <w:lang w:val="en-US" w:eastAsia="zh-CN"/>
        </w:rPr>
        <w:t>＝120.0mm；</w:t>
      </w:r>
    </w:p>
    <w:p w14:paraId="645B5F01">
      <w:pPr>
        <w:bidi w:val="0"/>
        <w:rPr>
          <w:rFonts w:hint="default" w:ascii="Times New Roman" w:hAnsi="Times New Roman" w:cs="Times New Roman"/>
        </w:rPr>
      </w:pPr>
      <w:r>
        <w:rPr>
          <w:rFonts w:hint="default" w:ascii="Times New Roman" w:hAnsi="Times New Roman" w:cs="Times New Roman"/>
          <w:lang w:val="en-US" w:eastAsia="zh-CN"/>
        </w:rPr>
        <w:t>年最大24小时点暴雨变差系数：C</w:t>
      </w:r>
      <w:r>
        <w:rPr>
          <w:rFonts w:hint="default" w:ascii="Times New Roman" w:hAnsi="Times New Roman" w:cs="Times New Roman"/>
          <w:vertAlign w:val="subscript"/>
          <w:lang w:val="en-US" w:eastAsia="zh-CN"/>
        </w:rPr>
        <w:t>V</w:t>
      </w:r>
      <w:r>
        <w:rPr>
          <w:rFonts w:hint="default" w:ascii="Times New Roman" w:hAnsi="Times New Roman" w:cs="Times New Roman"/>
          <w:lang w:val="en-US" w:eastAsia="zh-CN"/>
        </w:rPr>
        <w:t>＝0.43；</w:t>
      </w:r>
    </w:p>
    <w:p w14:paraId="051B0AC1">
      <w:pPr>
        <w:bidi w:val="0"/>
        <w:rPr>
          <w:rFonts w:hint="default" w:ascii="Times New Roman" w:hAnsi="Times New Roman" w:cs="Times New Roman"/>
        </w:rPr>
      </w:pPr>
      <w:r>
        <w:rPr>
          <w:rFonts w:hint="default" w:ascii="Times New Roman" w:hAnsi="Times New Roman" w:cs="Times New Roman"/>
          <w:lang w:val="en-US" w:eastAsia="zh-CN"/>
        </w:rPr>
        <w:t>偏差系数：C</w:t>
      </w:r>
      <w:r>
        <w:rPr>
          <w:rFonts w:hint="default" w:ascii="Times New Roman" w:hAnsi="Times New Roman" w:cs="Times New Roman"/>
          <w:vertAlign w:val="subscript"/>
          <w:lang w:val="en-US" w:eastAsia="zh-CN"/>
        </w:rPr>
        <w:t>S</w:t>
      </w:r>
      <w:r>
        <w:rPr>
          <w:rFonts w:hint="default" w:ascii="Times New Roman" w:hAnsi="Times New Roman" w:cs="Times New Roman"/>
          <w:lang w:val="en-US" w:eastAsia="zh-CN"/>
        </w:rPr>
        <w:t>＝3.5C</w:t>
      </w:r>
      <w:r>
        <w:rPr>
          <w:rFonts w:hint="default" w:ascii="Times New Roman" w:hAnsi="Times New Roman" w:cs="Times New Roman"/>
          <w:vertAlign w:val="subscript"/>
          <w:lang w:val="en-US" w:eastAsia="zh-CN"/>
        </w:rPr>
        <w:t>V</w:t>
      </w:r>
      <w:r>
        <w:rPr>
          <w:rFonts w:hint="default" w:ascii="Times New Roman" w:hAnsi="Times New Roman" w:cs="Times New Roman"/>
          <w:lang w:val="en-US" w:eastAsia="zh-CN"/>
        </w:rPr>
        <w:t>；</w:t>
      </w:r>
    </w:p>
    <w:p w14:paraId="3075E197">
      <w:pPr>
        <w:bidi w:val="0"/>
        <w:rPr>
          <w:rFonts w:hint="default" w:ascii="Times New Roman" w:hAnsi="Times New Roman" w:cs="Times New Roman"/>
        </w:rPr>
      </w:pPr>
      <w:r>
        <w:rPr>
          <w:rFonts w:hint="default" w:ascii="Times New Roman" w:hAnsi="Times New Roman" w:cs="Times New Roman"/>
          <w:lang w:val="en-US" w:eastAsia="zh-CN"/>
        </w:rPr>
        <w:t>前期雨量 Pa=70.0mm，最大蓄水量100mm；</w:t>
      </w:r>
    </w:p>
    <w:p w14:paraId="520526F9">
      <w:pPr>
        <w:bidi w:val="0"/>
        <w:rPr>
          <w:rFonts w:hint="default" w:ascii="Times New Roman" w:hAnsi="Times New Roman" w:cs="Times New Roman"/>
        </w:rPr>
      </w:pPr>
      <w:r>
        <w:rPr>
          <w:rFonts w:hint="default" w:ascii="Times New Roman" w:hAnsi="Times New Roman" w:cs="Times New Roman"/>
          <w:lang w:val="en-US" w:eastAsia="zh-CN"/>
        </w:rPr>
        <w:t>下渗强度：μ=1.60mm/h；</w:t>
      </w:r>
    </w:p>
    <w:p w14:paraId="49E3432F">
      <w:pPr>
        <w:bidi w:val="0"/>
        <w:rPr>
          <w:rFonts w:hint="default" w:ascii="Times New Roman" w:hAnsi="Times New Roman" w:cs="Times New Roman"/>
        </w:rPr>
      </w:pPr>
      <w:r>
        <w:rPr>
          <w:rFonts w:hint="default" w:ascii="Times New Roman" w:hAnsi="Times New Roman" w:cs="Times New Roman"/>
          <w:lang w:val="en-US" w:eastAsia="zh-CN"/>
        </w:rPr>
        <w:t>汇流参数 m=0.347；</w:t>
      </w:r>
    </w:p>
    <w:p w14:paraId="3E13B8E7">
      <w:pPr>
        <w:bidi w:val="0"/>
        <w:rPr>
          <w:rFonts w:hint="default" w:ascii="Times New Roman" w:hAnsi="Times New Roman" w:cs="Times New Roman"/>
        </w:rPr>
      </w:pPr>
      <w:r>
        <w:rPr>
          <w:rFonts w:hint="default" w:ascii="Times New Roman" w:hAnsi="Times New Roman" w:cs="Times New Roman"/>
          <w:lang w:val="en-US" w:eastAsia="zh-CN"/>
        </w:rPr>
        <w:t>暴雨递减指数：n</w:t>
      </w:r>
      <w:r>
        <w:rPr>
          <w:rFonts w:hint="default" w:ascii="Times New Roman" w:hAnsi="Times New Roman" w:cs="Times New Roman"/>
          <w:vertAlign w:val="subscript"/>
          <w:lang w:val="en-US" w:eastAsia="zh-CN"/>
        </w:rPr>
        <w:t>1</w:t>
      </w:r>
      <w:r>
        <w:rPr>
          <w:rFonts w:hint="default" w:ascii="Times New Roman" w:hAnsi="Times New Roman" w:cs="Times New Roman"/>
          <w:lang w:val="en-US" w:eastAsia="zh-CN"/>
        </w:rPr>
        <w:t>＝0.476，n</w:t>
      </w:r>
      <w:r>
        <w:rPr>
          <w:rFonts w:hint="default" w:ascii="Times New Roman" w:hAnsi="Times New Roman" w:cs="Times New Roman"/>
          <w:vertAlign w:val="subscript"/>
          <w:lang w:val="en-US" w:eastAsia="zh-CN"/>
        </w:rPr>
        <w:t>2</w:t>
      </w:r>
      <w:r>
        <w:rPr>
          <w:rFonts w:hint="default" w:ascii="Times New Roman" w:hAnsi="Times New Roman" w:cs="Times New Roman"/>
          <w:lang w:val="en-US" w:eastAsia="zh-CN"/>
        </w:rPr>
        <w:t>＝0.680；</w:t>
      </w:r>
    </w:p>
    <w:p w14:paraId="7D92B4F0">
      <w:pPr>
        <w:bidi w:val="0"/>
        <w:rPr>
          <w:rFonts w:hint="default" w:ascii="Times New Roman" w:hAnsi="Times New Roman" w:cs="Times New Roman"/>
        </w:rPr>
      </w:pPr>
      <w:r>
        <w:rPr>
          <w:rFonts w:hint="default" w:ascii="Times New Roman" w:hAnsi="Times New Roman" w:cs="Times New Roman"/>
          <w:lang w:val="en-US" w:eastAsia="zh-CN"/>
        </w:rPr>
        <w:t>尾矿库位于第Ⅴ产流区，第Ⅴ汇流区。尾矿库汇水面积较小，</w:t>
      </w:r>
    </w:p>
    <w:p w14:paraId="2F845C37">
      <w:pPr>
        <w:bidi w:val="0"/>
      </w:pPr>
      <w:r>
        <w:rPr>
          <w:rFonts w:hint="default" w:ascii="Times New Roman" w:hAnsi="Times New Roman" w:cs="Times New Roman"/>
          <w:lang w:val="en-US" w:eastAsia="zh-CN"/>
        </w:rPr>
        <w:t>因此不作点、面暴雨修正，直接以点暴雨代替面暴雨。</w:t>
      </w:r>
    </w:p>
    <w:p w14:paraId="0D9F7D5E">
      <w:pPr>
        <w:bidi w:val="0"/>
        <w:rPr>
          <w:rFonts w:hint="default" w:ascii="Times New Roman" w:hAnsi="Times New Roman" w:cs="Times New Roman"/>
        </w:rPr>
      </w:pPr>
      <w:r>
        <w:rPr>
          <w:rFonts w:hint="default" w:ascii="Times New Roman" w:hAnsi="Times New Roman" w:cs="Times New Roman"/>
          <w:lang w:val="en-US" w:eastAsia="zh-CN"/>
        </w:rPr>
        <w:t xml:space="preserve">利用《江西省暴雨洪水查算手册》中推理公式及相关参数对其进行洪水计算： </w:t>
      </w:r>
    </w:p>
    <w:p w14:paraId="2A0FB5DD">
      <w:pPr>
        <w:keepNext w:val="0"/>
        <w:keepLines w:val="0"/>
        <w:widowControl/>
        <w:suppressLineNumbers w:val="0"/>
        <w:jc w:val="left"/>
      </w:pPr>
      <w:r>
        <w:rPr>
          <w:rFonts w:hint="default" w:ascii="Times New Roman" w:hAnsi="Times New Roman" w:cs="Times New Roman"/>
          <w:lang w:val="en-US" w:eastAsia="zh-CN"/>
        </w:rPr>
        <w:t>Q=0.278h/τF</w:t>
      </w:r>
    </w:p>
    <w:p w14:paraId="67C6393A">
      <w:pPr>
        <w:bidi w:val="0"/>
        <w:rPr>
          <w:rFonts w:hint="default" w:ascii="Times New Roman" w:hAnsi="Times New Roman" w:cs="Times New Roman"/>
        </w:rPr>
      </w:pPr>
      <w:r>
        <w:rPr>
          <w:rFonts w:hint="default" w:ascii="Times New Roman" w:hAnsi="Times New Roman" w:cs="Times New Roman"/>
          <w:lang w:val="en-US" w:eastAsia="zh-CN"/>
        </w:rPr>
        <w:t>τ=0.278L/m/J</w:t>
      </w:r>
      <w:r>
        <w:rPr>
          <w:rFonts w:hint="default" w:ascii="Times New Roman" w:hAnsi="Times New Roman" w:cs="Times New Roman"/>
          <w:vertAlign w:val="subscript"/>
          <w:lang w:val="en-US" w:eastAsia="zh-CN"/>
        </w:rPr>
        <w:t>1/3</w:t>
      </w:r>
      <w:r>
        <w:rPr>
          <w:rFonts w:hint="default" w:ascii="Times New Roman" w:hAnsi="Times New Roman" w:cs="Times New Roman"/>
          <w:lang w:val="en-US" w:eastAsia="zh-CN"/>
        </w:rPr>
        <w:t>/Q</w:t>
      </w:r>
      <w:r>
        <w:rPr>
          <w:rFonts w:hint="default" w:ascii="Times New Roman" w:hAnsi="Times New Roman" w:cs="Times New Roman"/>
          <w:vertAlign w:val="subscript"/>
          <w:lang w:val="en-US" w:eastAsia="zh-CN"/>
        </w:rPr>
        <w:t xml:space="preserve">1/4 </w:t>
      </w:r>
    </w:p>
    <w:p w14:paraId="4D7DA7E3">
      <w:pPr>
        <w:bidi w:val="0"/>
        <w:rPr>
          <w:rFonts w:hint="default" w:ascii="Times New Roman" w:hAnsi="Times New Roman" w:cs="Times New Roman"/>
        </w:rPr>
      </w:pPr>
      <w:r>
        <w:rPr>
          <w:rFonts w:hint="default" w:ascii="Times New Roman" w:hAnsi="Times New Roman" w:cs="Times New Roman"/>
          <w:lang w:val="en-US" w:eastAsia="zh-CN"/>
        </w:rPr>
        <w:t>上式中：Q－洪峰流量（m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 xml:space="preserve"> /s）； </w:t>
      </w:r>
    </w:p>
    <w:p w14:paraId="1F98427E">
      <w:pPr>
        <w:bidi w:val="0"/>
        <w:rPr>
          <w:rFonts w:hint="default" w:ascii="Times New Roman" w:hAnsi="Times New Roman" w:cs="Times New Roman"/>
        </w:rPr>
      </w:pPr>
      <w:r>
        <w:rPr>
          <w:rFonts w:hint="default" w:ascii="Times New Roman" w:hAnsi="Times New Roman" w:cs="Times New Roman"/>
          <w:lang w:val="en-US" w:eastAsia="zh-CN"/>
        </w:rPr>
        <w:t xml:space="preserve">h－净雨量（mm）； </w:t>
      </w:r>
    </w:p>
    <w:p w14:paraId="702D996E">
      <w:pPr>
        <w:bidi w:val="0"/>
        <w:rPr>
          <w:rFonts w:hint="default" w:ascii="Times New Roman" w:hAnsi="Times New Roman" w:cs="Times New Roman"/>
        </w:rPr>
      </w:pPr>
      <w:r>
        <w:rPr>
          <w:rFonts w:hint="default" w:ascii="Times New Roman" w:hAnsi="Times New Roman" w:cs="Times New Roman"/>
          <w:lang w:val="en-US" w:eastAsia="zh-CN"/>
        </w:rPr>
        <w:t>F－汇流面积（km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 xml:space="preserve">）； </w:t>
      </w:r>
    </w:p>
    <w:p w14:paraId="2542F936">
      <w:pPr>
        <w:bidi w:val="0"/>
        <w:rPr>
          <w:rFonts w:hint="default" w:ascii="Times New Roman" w:hAnsi="Times New Roman" w:cs="Times New Roman"/>
        </w:rPr>
      </w:pPr>
      <w:r>
        <w:rPr>
          <w:rFonts w:hint="default" w:ascii="Times New Roman" w:hAnsi="Times New Roman" w:cs="Times New Roman"/>
          <w:lang w:val="en-US" w:eastAsia="zh-CN"/>
        </w:rPr>
        <w:t xml:space="preserve">τ－汇流历时（h）； </w:t>
      </w:r>
    </w:p>
    <w:p w14:paraId="0372D8DA">
      <w:pPr>
        <w:bidi w:val="0"/>
        <w:rPr>
          <w:rFonts w:hint="default" w:ascii="Times New Roman" w:hAnsi="Times New Roman" w:cs="Times New Roman"/>
        </w:rPr>
      </w:pPr>
      <w:r>
        <w:rPr>
          <w:rFonts w:hint="default" w:ascii="Times New Roman" w:hAnsi="Times New Roman" w:cs="Times New Roman"/>
          <w:lang w:val="en-US" w:eastAsia="zh-CN"/>
        </w:rPr>
        <w:t xml:space="preserve">L－主河长（km）； </w:t>
      </w:r>
    </w:p>
    <w:p w14:paraId="4B05B63D">
      <w:pPr>
        <w:bidi w:val="0"/>
        <w:rPr>
          <w:rFonts w:hint="default" w:ascii="Times New Roman" w:hAnsi="Times New Roman" w:cs="Times New Roman"/>
        </w:rPr>
      </w:pPr>
      <w:r>
        <w:rPr>
          <w:rFonts w:hint="default" w:ascii="Times New Roman" w:hAnsi="Times New Roman" w:cs="Times New Roman"/>
          <w:lang w:val="en-US" w:eastAsia="zh-CN"/>
        </w:rPr>
        <w:t xml:space="preserve">m－汇流参数； </w:t>
      </w:r>
    </w:p>
    <w:p w14:paraId="3D903A1C">
      <w:pPr>
        <w:bidi w:val="0"/>
        <w:rPr>
          <w:rFonts w:hint="default" w:ascii="Times New Roman" w:hAnsi="Times New Roman" w:cs="Times New Roman"/>
        </w:rPr>
      </w:pPr>
      <w:r>
        <w:rPr>
          <w:rFonts w:hint="default" w:ascii="Times New Roman" w:hAnsi="Times New Roman" w:cs="Times New Roman"/>
          <w:lang w:val="en-US" w:eastAsia="zh-CN"/>
        </w:rPr>
        <w:t xml:space="preserve">J－加权平均比降； </w:t>
      </w:r>
    </w:p>
    <w:p w14:paraId="3212E930">
      <w:pPr>
        <w:bidi w:val="0"/>
        <w:rPr>
          <w:rFonts w:hint="default" w:ascii="Times New Roman" w:hAnsi="Times New Roman" w:cs="Times New Roman"/>
        </w:rPr>
      </w:pPr>
      <w:r>
        <w:rPr>
          <w:rFonts w:hint="default" w:ascii="Times New Roman" w:hAnsi="Times New Roman" w:cs="Times New Roman"/>
          <w:lang w:val="en-US" w:eastAsia="zh-CN"/>
        </w:rPr>
        <w:t xml:space="preserve">尾矿库洪水计算成果见表 </w:t>
      </w:r>
      <w:r>
        <w:rPr>
          <w:rFonts w:hint="eastAsia" w:ascii="Times New Roman" w:hAnsi="Times New Roman" w:cs="Times New Roman"/>
          <w:lang w:val="en-US" w:eastAsia="zh-CN"/>
        </w:rPr>
        <w:t>5.3.2-3</w:t>
      </w:r>
      <w:r>
        <w:rPr>
          <w:rFonts w:hint="default" w:ascii="Times New Roman" w:hAnsi="Times New Roman" w:cs="Times New Roman"/>
          <w:lang w:val="en-US" w:eastAsia="zh-CN"/>
        </w:rPr>
        <w:t xml:space="preserve">。 </w:t>
      </w:r>
    </w:p>
    <w:p w14:paraId="77EAEE3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表</w:t>
      </w:r>
      <w:r>
        <w:rPr>
          <w:rFonts w:hint="eastAsia" w:ascii="Times New Roman" w:hAnsi="Times New Roman" w:cs="Times New Roman"/>
          <w:lang w:val="en-US" w:eastAsia="zh-CN"/>
        </w:rPr>
        <w:t>5.3.2-3</w:t>
      </w:r>
      <w:r>
        <w:rPr>
          <w:rFonts w:hint="default" w:ascii="Times New Roman" w:hAnsi="Times New Roman" w:cs="Times New Roman"/>
          <w:lang w:val="en-US" w:eastAsia="zh-CN"/>
        </w:rPr>
        <w:t xml:space="preserve"> 尾矿库洪水计算成果表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2"/>
        <w:gridCol w:w="3092"/>
        <w:gridCol w:w="3092"/>
      </w:tblGrid>
      <w:tr w14:paraId="1E223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2" w:type="dxa"/>
            <w:vAlign w:val="center"/>
          </w:tcPr>
          <w:p w14:paraId="3271D62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设计频率</w:t>
            </w:r>
          </w:p>
        </w:tc>
        <w:tc>
          <w:tcPr>
            <w:tcW w:w="3092" w:type="dxa"/>
            <w:vAlign w:val="center"/>
          </w:tcPr>
          <w:p w14:paraId="7CC6572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洪峰流量（m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 xml:space="preserve"> /s）</w:t>
            </w:r>
          </w:p>
        </w:tc>
        <w:tc>
          <w:tcPr>
            <w:tcW w:w="3092" w:type="dxa"/>
            <w:vAlign w:val="center"/>
          </w:tcPr>
          <w:p w14:paraId="146EEE1E">
            <w:pPr>
              <w:keepNext w:val="0"/>
              <w:keepLines w:val="0"/>
              <w:pageBreakBefore w:val="0"/>
              <w:widowControl w:val="0"/>
              <w:kinsoku/>
              <w:wordWrap/>
              <w:overflowPunct/>
              <w:topLinePunct w:val="0"/>
              <w:autoSpaceDE/>
              <w:autoSpaceDN/>
              <w:bidi w:val="0"/>
              <w:adjustRightInd w:val="0"/>
              <w:snapToGrid w:val="0"/>
              <w:ind w:firstLine="0" w:firstLineChars="0"/>
              <w:jc w:val="both"/>
              <w:textAlignment w:val="auto"/>
              <w:rPr>
                <w:rFonts w:hint="default" w:ascii="Times New Roman" w:hAnsi="Times New Roman" w:cs="Times New Roman"/>
              </w:rPr>
            </w:pPr>
            <w:r>
              <w:rPr>
                <w:rFonts w:hint="default" w:ascii="Times New Roman" w:hAnsi="Times New Roman" w:cs="Times New Roman"/>
                <w:lang w:val="en-US" w:eastAsia="zh-CN"/>
              </w:rPr>
              <w:t>洪水总量（万 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w:t>
            </w:r>
          </w:p>
        </w:tc>
      </w:tr>
      <w:tr w14:paraId="79FE5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2" w:type="dxa"/>
            <w:vAlign w:val="center"/>
          </w:tcPr>
          <w:p w14:paraId="1186729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100 年</w:t>
            </w:r>
          </w:p>
        </w:tc>
        <w:tc>
          <w:tcPr>
            <w:tcW w:w="3092" w:type="dxa"/>
            <w:vAlign w:val="center"/>
          </w:tcPr>
          <w:p w14:paraId="4B6D490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21.50</w:t>
            </w:r>
          </w:p>
        </w:tc>
        <w:tc>
          <w:tcPr>
            <w:tcW w:w="3092" w:type="dxa"/>
            <w:vAlign w:val="center"/>
          </w:tcPr>
          <w:p w14:paraId="4FAAAAC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24.59</w:t>
            </w:r>
          </w:p>
        </w:tc>
      </w:tr>
    </w:tbl>
    <w:p w14:paraId="0A2EE913">
      <w:pPr>
        <w:bidi w:val="0"/>
        <w:rPr>
          <w:rFonts w:hint="eastAsia" w:ascii="Times New Roman" w:hAnsi="Times New Roman" w:cs="Times New Roman"/>
          <w:lang w:val="en-US" w:eastAsia="zh-CN"/>
        </w:rPr>
      </w:pPr>
      <w:r>
        <w:rPr>
          <w:rFonts w:hint="default" w:ascii="Times New Roman" w:hAnsi="Times New Roman" w:cs="Times New Roman"/>
          <w:lang w:val="en-US" w:eastAsia="zh-CN"/>
        </w:rPr>
        <w:t xml:space="preserve">根据表5.3.2-3 尾矿库 100 年一遇洪水计算成果绘制洪水过程线，洪水过程线采用《江西省暴雨洪水查算手册》（2010 年 10 月）中推荐的五点概化法进行绘制，见图 </w:t>
      </w:r>
      <w:r>
        <w:rPr>
          <w:rFonts w:hint="eastAsia" w:ascii="Times New Roman" w:hAnsi="Times New Roman" w:cs="Times New Roman"/>
          <w:lang w:val="en-US" w:eastAsia="zh-CN"/>
        </w:rPr>
        <w:t>5.3.2</w:t>
      </w:r>
      <w:r>
        <w:rPr>
          <w:rFonts w:hint="default" w:ascii="Times New Roman" w:hAnsi="Times New Roman" w:cs="Times New Roman"/>
          <w:lang w:val="en-US" w:eastAsia="zh-CN"/>
        </w:rPr>
        <w:t>-1</w:t>
      </w:r>
      <w:r>
        <w:rPr>
          <w:rFonts w:hint="eastAsia" w:ascii="Times New Roman" w:hAnsi="Times New Roman" w:cs="Times New Roman"/>
          <w:lang w:val="en-US" w:eastAsia="zh-CN"/>
        </w:rPr>
        <w:t>。</w:t>
      </w:r>
    </w:p>
    <w:tbl>
      <w:tblPr>
        <w:tblStyle w:val="27"/>
        <w:tblW w:w="7199" w:type="dxa"/>
        <w:tblInd w:w="608" w:type="dxa"/>
        <w:tblBorders>
          <w:top w:val="single" w:color="868686" w:sz="6" w:space="0"/>
          <w:left w:val="single" w:color="868686" w:sz="6" w:space="0"/>
          <w:bottom w:val="single" w:color="868686" w:sz="6" w:space="0"/>
          <w:right w:val="single" w:color="868686" w:sz="6" w:space="0"/>
          <w:insideH w:val="single" w:color="868686" w:sz="6" w:space="0"/>
          <w:insideV w:val="single" w:color="868686" w:sz="6" w:space="0"/>
        </w:tblBorders>
        <w:tblLayout w:type="fixed"/>
        <w:tblCellMar>
          <w:top w:w="0" w:type="dxa"/>
          <w:left w:w="0" w:type="dxa"/>
          <w:bottom w:w="0" w:type="dxa"/>
          <w:right w:w="0" w:type="dxa"/>
        </w:tblCellMar>
      </w:tblPr>
      <w:tblGrid>
        <w:gridCol w:w="395"/>
        <w:gridCol w:w="6804"/>
      </w:tblGrid>
      <w:tr w14:paraId="121580F1">
        <w:tblPrEx>
          <w:tblBorders>
            <w:top w:val="single" w:color="868686" w:sz="6" w:space="0"/>
            <w:left w:val="single" w:color="868686" w:sz="6" w:space="0"/>
            <w:bottom w:val="single" w:color="868686" w:sz="6" w:space="0"/>
            <w:right w:val="single" w:color="868686" w:sz="6" w:space="0"/>
            <w:insideH w:val="single" w:color="868686" w:sz="6" w:space="0"/>
            <w:insideV w:val="single" w:color="868686" w:sz="6" w:space="0"/>
          </w:tblBorders>
          <w:tblCellMar>
            <w:top w:w="0" w:type="dxa"/>
            <w:left w:w="0" w:type="dxa"/>
            <w:bottom w:w="0" w:type="dxa"/>
            <w:right w:w="0" w:type="dxa"/>
          </w:tblCellMar>
        </w:tblPrEx>
        <w:trPr>
          <w:trHeight w:val="672" w:hRule="atLeast"/>
        </w:trPr>
        <w:tc>
          <w:tcPr>
            <w:tcW w:w="7199" w:type="dxa"/>
            <w:gridSpan w:val="2"/>
            <w:tcBorders>
              <w:bottom w:val="nil"/>
            </w:tcBorders>
            <w:vAlign w:val="top"/>
          </w:tcPr>
          <w:p w14:paraId="0C0443D7">
            <w:pPr>
              <w:widowControl/>
              <w:kinsoku w:val="0"/>
              <w:autoSpaceDE w:val="0"/>
              <w:autoSpaceDN w:val="0"/>
              <w:spacing w:before="195" w:line="220" w:lineRule="auto"/>
              <w:ind w:left="1896" w:firstLine="0" w:firstLineChars="0"/>
              <w:jc w:val="left"/>
              <w:textAlignment w:val="baseline"/>
              <w:rPr>
                <w:rFonts w:ascii="宋体" w:hAnsi="宋体" w:eastAsia="宋体" w:cs="宋体"/>
                <w:snapToGrid w:val="0"/>
                <w:color w:val="000000"/>
                <w:kern w:val="0"/>
                <w:sz w:val="36"/>
                <w:szCs w:val="36"/>
                <w:lang w:eastAsia="en-US"/>
              </w:rPr>
            </w:pPr>
            <w:r>
              <w:rPr>
                <w:rFonts w:ascii="Calibri" w:hAnsi="Calibri" w:eastAsia="Calibri" w:cs="Calibri"/>
                <w:b/>
                <w:bCs/>
                <w:snapToGrid w:val="0"/>
                <w:color w:val="000000"/>
                <w:spacing w:val="-4"/>
                <w:kern w:val="0"/>
                <w:sz w:val="36"/>
                <w:szCs w:val="36"/>
                <w:lang w:eastAsia="en-US"/>
              </w:rPr>
              <w:t>100</w:t>
            </w:r>
            <w:r>
              <w:rPr>
                <w:rFonts w:ascii="宋体" w:hAnsi="宋体" w:eastAsia="宋体" w:cs="宋体"/>
                <w:b/>
                <w:bCs/>
                <w:snapToGrid w:val="0"/>
                <w:color w:val="000000"/>
                <w:spacing w:val="-4"/>
                <w:kern w:val="0"/>
                <w:sz w:val="36"/>
                <w:szCs w:val="36"/>
                <w:lang w:eastAsia="en-US"/>
              </w:rPr>
              <w:t>年一遇洪水过程线</w:t>
            </w:r>
          </w:p>
        </w:tc>
      </w:tr>
      <w:tr w14:paraId="5EFE559C">
        <w:tblPrEx>
          <w:tblBorders>
            <w:top w:val="single" w:color="868686" w:sz="6" w:space="0"/>
            <w:left w:val="single" w:color="868686" w:sz="6" w:space="0"/>
            <w:bottom w:val="single" w:color="868686" w:sz="6" w:space="0"/>
            <w:right w:val="single" w:color="868686" w:sz="6" w:space="0"/>
            <w:insideH w:val="single" w:color="868686" w:sz="6" w:space="0"/>
            <w:insideV w:val="single" w:color="868686" w:sz="6" w:space="0"/>
          </w:tblBorders>
          <w:tblCellMar>
            <w:top w:w="0" w:type="dxa"/>
            <w:left w:w="0" w:type="dxa"/>
            <w:bottom w:w="0" w:type="dxa"/>
            <w:right w:w="0" w:type="dxa"/>
          </w:tblCellMar>
        </w:tblPrEx>
        <w:trPr>
          <w:trHeight w:val="3107" w:hRule="atLeast"/>
        </w:trPr>
        <w:tc>
          <w:tcPr>
            <w:tcW w:w="395" w:type="dxa"/>
            <w:tcBorders>
              <w:top w:val="nil"/>
              <w:right w:val="nil"/>
            </w:tcBorders>
            <w:vAlign w:val="top"/>
          </w:tcPr>
          <w:p w14:paraId="0F3E026E">
            <w:pPr>
              <w:widowControl/>
              <w:kinsoku w:val="0"/>
              <w:autoSpaceDE w:val="0"/>
              <w:autoSpaceDN w:val="0"/>
              <w:spacing w:before="120" w:line="185" w:lineRule="auto"/>
              <w:ind w:left="134" w:firstLine="0" w:firstLineChars="0"/>
              <w:jc w:val="left"/>
              <w:textAlignment w:val="baseline"/>
              <w:rPr>
                <w:rFonts w:ascii="Calibri" w:hAnsi="Calibri" w:eastAsia="Calibri" w:cs="Calibri"/>
                <w:snapToGrid w:val="0"/>
                <w:color w:val="000000"/>
                <w:kern w:val="0"/>
                <w:sz w:val="19"/>
                <w:szCs w:val="19"/>
                <w:lang w:eastAsia="en-US"/>
              </w:rPr>
            </w:pPr>
            <w:r>
              <w:rPr>
                <w:rFonts w:ascii="Calibri" w:hAnsi="Calibri" w:eastAsia="Calibri" w:cs="Calibri"/>
                <w:snapToGrid w:val="0"/>
                <w:color w:val="000000"/>
                <w:spacing w:val="-1"/>
                <w:kern w:val="0"/>
                <w:sz w:val="19"/>
                <w:szCs w:val="19"/>
                <w:lang w:eastAsia="en-US"/>
              </w:rPr>
              <w:t>25</w:t>
            </w:r>
          </w:p>
          <w:p w14:paraId="47831038">
            <w:pPr>
              <w:widowControl/>
              <w:kinsoku w:val="0"/>
              <w:autoSpaceDE w:val="0"/>
              <w:autoSpaceDN w:val="0"/>
              <w:spacing w:line="299" w:lineRule="auto"/>
              <w:ind w:firstLine="0" w:firstLineChars="0"/>
              <w:jc w:val="left"/>
              <w:textAlignment w:val="baseline"/>
              <w:rPr>
                <w:rFonts w:ascii="Arial" w:hAnsi="Arial" w:eastAsia="Arial" w:cs="Arial"/>
                <w:snapToGrid w:val="0"/>
                <w:color w:val="000000"/>
                <w:kern w:val="0"/>
                <w:sz w:val="21"/>
                <w:szCs w:val="21"/>
                <w:lang w:eastAsia="en-US"/>
              </w:rPr>
            </w:pPr>
          </w:p>
          <w:p w14:paraId="40889855">
            <w:pPr>
              <w:widowControl/>
              <w:kinsoku w:val="0"/>
              <w:autoSpaceDE w:val="0"/>
              <w:autoSpaceDN w:val="0"/>
              <w:spacing w:before="58" w:line="185" w:lineRule="auto"/>
              <w:ind w:left="134" w:firstLine="0" w:firstLineChars="0"/>
              <w:jc w:val="left"/>
              <w:textAlignment w:val="baseline"/>
              <w:rPr>
                <w:rFonts w:ascii="Calibri" w:hAnsi="Calibri" w:eastAsia="Calibri" w:cs="Calibri"/>
                <w:snapToGrid w:val="0"/>
                <w:color w:val="000000"/>
                <w:kern w:val="0"/>
                <w:sz w:val="19"/>
                <w:szCs w:val="19"/>
                <w:lang w:eastAsia="en-US"/>
              </w:rPr>
            </w:pPr>
            <w:r>
              <w:rPr>
                <w:rFonts w:ascii="Calibri" w:hAnsi="Calibri" w:eastAsia="Calibri" w:cs="Calibri"/>
                <w:snapToGrid w:val="0"/>
                <w:color w:val="000000"/>
                <w:spacing w:val="-1"/>
                <w:kern w:val="0"/>
                <w:sz w:val="19"/>
                <w:szCs w:val="19"/>
                <w:lang w:eastAsia="en-US"/>
              </w:rPr>
              <w:t>20</w:t>
            </w:r>
          </w:p>
          <w:p w14:paraId="4D9612E4">
            <w:pPr>
              <w:widowControl/>
              <w:kinsoku w:val="0"/>
              <w:autoSpaceDE w:val="0"/>
              <w:autoSpaceDN w:val="0"/>
              <w:spacing w:line="300" w:lineRule="auto"/>
              <w:ind w:firstLine="0" w:firstLineChars="0"/>
              <w:jc w:val="left"/>
              <w:textAlignment w:val="baseline"/>
              <w:rPr>
                <w:rFonts w:ascii="Arial" w:hAnsi="Arial" w:eastAsia="Arial" w:cs="Arial"/>
                <w:snapToGrid w:val="0"/>
                <w:color w:val="000000"/>
                <w:kern w:val="0"/>
                <w:sz w:val="21"/>
                <w:szCs w:val="21"/>
                <w:lang w:eastAsia="en-US"/>
              </w:rPr>
            </w:pPr>
          </w:p>
          <w:p w14:paraId="1F923A75">
            <w:pPr>
              <w:widowControl/>
              <w:kinsoku w:val="0"/>
              <w:autoSpaceDE w:val="0"/>
              <w:autoSpaceDN w:val="0"/>
              <w:spacing w:before="58" w:line="184" w:lineRule="auto"/>
              <w:ind w:left="139" w:firstLine="0" w:firstLineChars="0"/>
              <w:jc w:val="left"/>
              <w:textAlignment w:val="baseline"/>
              <w:rPr>
                <w:rFonts w:ascii="Calibri" w:hAnsi="Calibri" w:eastAsia="Calibri" w:cs="Calibri"/>
                <w:snapToGrid w:val="0"/>
                <w:color w:val="000000"/>
                <w:kern w:val="0"/>
                <w:sz w:val="19"/>
                <w:szCs w:val="19"/>
                <w:lang w:eastAsia="en-US"/>
              </w:rPr>
            </w:pPr>
            <w:r>
              <w:rPr>
                <w:rFonts w:ascii="Calibri" w:hAnsi="Calibri" w:eastAsia="Calibri" w:cs="Calibri"/>
                <w:snapToGrid w:val="0"/>
                <w:color w:val="000000"/>
                <w:spacing w:val="-2"/>
                <w:kern w:val="0"/>
                <w:sz w:val="19"/>
                <w:szCs w:val="19"/>
                <w:lang w:eastAsia="en-US"/>
              </w:rPr>
              <w:t>15</w:t>
            </w:r>
          </w:p>
          <w:p w14:paraId="01829D55">
            <w:pPr>
              <w:widowControl/>
              <w:kinsoku w:val="0"/>
              <w:autoSpaceDE w:val="0"/>
              <w:autoSpaceDN w:val="0"/>
              <w:spacing w:line="299" w:lineRule="auto"/>
              <w:ind w:firstLine="0" w:firstLineChars="0"/>
              <w:jc w:val="left"/>
              <w:textAlignment w:val="baseline"/>
              <w:rPr>
                <w:rFonts w:ascii="Arial" w:hAnsi="Arial" w:eastAsia="Arial" w:cs="Arial"/>
                <w:snapToGrid w:val="0"/>
                <w:color w:val="000000"/>
                <w:kern w:val="0"/>
                <w:sz w:val="21"/>
                <w:szCs w:val="21"/>
                <w:lang w:eastAsia="en-US"/>
              </w:rPr>
            </w:pPr>
          </w:p>
          <w:p w14:paraId="6A7EB277">
            <w:pPr>
              <w:widowControl/>
              <w:kinsoku w:val="0"/>
              <w:autoSpaceDE w:val="0"/>
              <w:autoSpaceDN w:val="0"/>
              <w:spacing w:before="58" w:line="185" w:lineRule="auto"/>
              <w:ind w:left="139" w:firstLine="0" w:firstLineChars="0"/>
              <w:jc w:val="left"/>
              <w:textAlignment w:val="baseline"/>
              <w:rPr>
                <w:rFonts w:ascii="Calibri" w:hAnsi="Calibri" w:eastAsia="Calibri" w:cs="Calibri"/>
                <w:snapToGrid w:val="0"/>
                <w:color w:val="000000"/>
                <w:kern w:val="0"/>
                <w:sz w:val="19"/>
                <w:szCs w:val="19"/>
                <w:lang w:eastAsia="en-US"/>
              </w:rPr>
            </w:pPr>
            <w:r>
              <w:rPr>
                <w:rFonts w:ascii="Calibri" w:hAnsi="Calibri" w:eastAsia="Calibri" w:cs="Calibri"/>
                <w:snapToGrid w:val="0"/>
                <w:color w:val="000000"/>
                <w:spacing w:val="-2"/>
                <w:kern w:val="0"/>
                <w:sz w:val="19"/>
                <w:szCs w:val="19"/>
                <w:lang w:eastAsia="en-US"/>
              </w:rPr>
              <w:t>10</w:t>
            </w:r>
          </w:p>
          <w:p w14:paraId="6B7E7770">
            <w:pPr>
              <w:widowControl/>
              <w:kinsoku w:val="0"/>
              <w:autoSpaceDE w:val="0"/>
              <w:autoSpaceDN w:val="0"/>
              <w:spacing w:line="301" w:lineRule="auto"/>
              <w:ind w:firstLine="0" w:firstLineChars="0"/>
              <w:jc w:val="left"/>
              <w:textAlignment w:val="baseline"/>
              <w:rPr>
                <w:rFonts w:ascii="Arial" w:hAnsi="Arial" w:eastAsia="Arial" w:cs="Arial"/>
                <w:snapToGrid w:val="0"/>
                <w:color w:val="000000"/>
                <w:kern w:val="0"/>
                <w:sz w:val="21"/>
                <w:szCs w:val="21"/>
                <w:lang w:eastAsia="en-US"/>
              </w:rPr>
            </w:pPr>
          </w:p>
          <w:p w14:paraId="09FAE373">
            <w:pPr>
              <w:widowControl/>
              <w:kinsoku w:val="0"/>
              <w:autoSpaceDE w:val="0"/>
              <w:autoSpaceDN w:val="0"/>
              <w:spacing w:before="58" w:line="183" w:lineRule="auto"/>
              <w:ind w:left="233" w:firstLine="0" w:firstLineChars="0"/>
              <w:jc w:val="left"/>
              <w:textAlignment w:val="baseline"/>
              <w:rPr>
                <w:rFonts w:ascii="Calibri" w:hAnsi="Calibri" w:eastAsia="Calibri" w:cs="Calibri"/>
                <w:snapToGrid w:val="0"/>
                <w:color w:val="000000"/>
                <w:kern w:val="0"/>
                <w:sz w:val="19"/>
                <w:szCs w:val="19"/>
                <w:lang w:eastAsia="en-US"/>
              </w:rPr>
            </w:pPr>
            <w:r>
              <w:rPr>
                <w:rFonts w:ascii="Calibri" w:hAnsi="Calibri" w:eastAsia="Calibri" w:cs="Calibri"/>
                <w:snapToGrid w:val="0"/>
                <w:color w:val="000000"/>
                <w:kern w:val="0"/>
                <w:sz w:val="19"/>
                <w:szCs w:val="19"/>
                <w:lang w:eastAsia="en-US"/>
              </w:rPr>
              <w:t>5</w:t>
            </w:r>
          </w:p>
          <w:p w14:paraId="68C641FF">
            <w:pPr>
              <w:widowControl/>
              <w:kinsoku w:val="0"/>
              <w:autoSpaceDE w:val="0"/>
              <w:autoSpaceDN w:val="0"/>
              <w:spacing w:line="299" w:lineRule="auto"/>
              <w:ind w:firstLine="0" w:firstLineChars="0"/>
              <w:jc w:val="left"/>
              <w:textAlignment w:val="baseline"/>
              <w:rPr>
                <w:rFonts w:ascii="Arial" w:hAnsi="Arial" w:eastAsia="Arial" w:cs="Arial"/>
                <w:snapToGrid w:val="0"/>
                <w:color w:val="000000"/>
                <w:kern w:val="0"/>
                <w:sz w:val="21"/>
                <w:szCs w:val="21"/>
                <w:lang w:eastAsia="en-US"/>
              </w:rPr>
            </w:pPr>
          </w:p>
          <w:p w14:paraId="30098B99">
            <w:pPr>
              <w:widowControl/>
              <w:kinsoku w:val="0"/>
              <w:autoSpaceDE w:val="0"/>
              <w:autoSpaceDN w:val="0"/>
              <w:spacing w:before="58" w:line="185" w:lineRule="auto"/>
              <w:ind w:left="231" w:firstLine="0" w:firstLineChars="0"/>
              <w:jc w:val="left"/>
              <w:textAlignment w:val="baseline"/>
              <w:rPr>
                <w:rFonts w:ascii="Calibri" w:hAnsi="Calibri" w:eastAsia="Calibri" w:cs="Calibri"/>
                <w:snapToGrid w:val="0"/>
                <w:color w:val="000000"/>
                <w:kern w:val="0"/>
                <w:sz w:val="19"/>
                <w:szCs w:val="19"/>
                <w:lang w:eastAsia="en-US"/>
              </w:rPr>
            </w:pPr>
            <w:r>
              <w:rPr>
                <w:rFonts w:ascii="Calibri" w:hAnsi="Calibri" w:eastAsia="Calibri" w:cs="Calibri"/>
                <w:snapToGrid w:val="0"/>
                <w:color w:val="000000"/>
                <w:kern w:val="0"/>
                <w:sz w:val="19"/>
                <w:szCs w:val="19"/>
                <w:lang w:eastAsia="en-US"/>
              </w:rPr>
              <w:t>0</w:t>
            </w:r>
          </w:p>
          <w:p w14:paraId="5C5691B5">
            <w:pPr>
              <w:widowControl/>
              <w:kinsoku w:val="0"/>
              <w:autoSpaceDE w:val="0"/>
              <w:autoSpaceDN w:val="0"/>
              <w:spacing w:line="301" w:lineRule="auto"/>
              <w:ind w:firstLine="0" w:firstLineChars="0"/>
              <w:jc w:val="left"/>
              <w:textAlignment w:val="baseline"/>
              <w:rPr>
                <w:rFonts w:ascii="Arial" w:hAnsi="Arial" w:eastAsia="Arial" w:cs="Arial"/>
                <w:snapToGrid w:val="0"/>
                <w:color w:val="000000"/>
                <w:kern w:val="0"/>
                <w:sz w:val="21"/>
                <w:szCs w:val="21"/>
                <w:lang w:eastAsia="en-US"/>
              </w:rPr>
            </w:pPr>
          </w:p>
          <w:p w14:paraId="53652695">
            <w:pPr>
              <w:widowControl/>
              <w:kinsoku w:val="0"/>
              <w:autoSpaceDE w:val="0"/>
              <w:autoSpaceDN w:val="0"/>
              <w:spacing w:before="59" w:line="183" w:lineRule="auto"/>
              <w:ind w:left="170" w:firstLine="0" w:firstLineChars="0"/>
              <w:jc w:val="left"/>
              <w:textAlignment w:val="baseline"/>
              <w:rPr>
                <w:rFonts w:ascii="Calibri" w:hAnsi="Calibri" w:eastAsia="Calibri" w:cs="Calibri"/>
                <w:snapToGrid w:val="0"/>
                <w:color w:val="000000"/>
                <w:kern w:val="0"/>
                <w:sz w:val="19"/>
                <w:szCs w:val="19"/>
                <w:lang w:eastAsia="en-US"/>
              </w:rPr>
            </w:pPr>
            <w:r>
              <w:rPr>
                <w:rFonts w:ascii="Calibri" w:hAnsi="Calibri" w:eastAsia="Calibri" w:cs="Calibri"/>
                <w:snapToGrid w:val="0"/>
                <w:color w:val="000000"/>
                <w:spacing w:val="1"/>
                <w:kern w:val="0"/>
                <w:sz w:val="19"/>
                <w:szCs w:val="19"/>
                <w:lang w:eastAsia="en-US"/>
              </w:rPr>
              <w:t>-5</w:t>
            </w:r>
          </w:p>
        </w:tc>
        <w:tc>
          <w:tcPr>
            <w:tcW w:w="6804" w:type="dxa"/>
            <w:tcBorders>
              <w:top w:val="nil"/>
              <w:left w:val="nil"/>
            </w:tcBorders>
            <w:vAlign w:val="top"/>
          </w:tcPr>
          <w:p w14:paraId="465345BD">
            <w:pPr>
              <w:widowControl/>
              <w:kinsoku w:val="0"/>
              <w:autoSpaceDE w:val="0"/>
              <w:autoSpaceDN w:val="0"/>
              <w:spacing w:line="182" w:lineRule="exact"/>
              <w:ind w:firstLine="0" w:firstLineChars="0"/>
              <w:jc w:val="left"/>
              <w:textAlignment w:val="baseline"/>
              <w:rPr>
                <w:rFonts w:ascii="Arial" w:hAnsi="Arial" w:eastAsia="Arial" w:cs="Arial"/>
                <w:snapToGrid w:val="0"/>
                <w:color w:val="000000"/>
                <w:kern w:val="0"/>
                <w:sz w:val="21"/>
                <w:szCs w:val="21"/>
                <w:lang w:eastAsia="en-US"/>
              </w:rPr>
            </w:pPr>
            <w:r>
              <w:rPr>
                <w:rFonts w:ascii="Arial" w:hAnsi="Arial" w:eastAsia="Arial" w:cs="Arial"/>
                <w:snapToGrid w:val="0"/>
                <w:color w:val="000000"/>
                <w:kern w:val="0"/>
                <w:sz w:val="21"/>
                <w:szCs w:val="21"/>
                <w:lang w:eastAsia="en-US"/>
              </w:rPr>
              <w:drawing>
                <wp:anchor distT="0" distB="0" distL="0" distR="0" simplePos="0" relativeHeight="251664384" behindDoc="0" locked="0" layoutInCell="1" allowOverlap="1">
                  <wp:simplePos x="0" y="0"/>
                  <wp:positionH relativeFrom="rightMargin">
                    <wp:posOffset>-4281170</wp:posOffset>
                  </wp:positionH>
                  <wp:positionV relativeFrom="topMargin">
                    <wp:posOffset>345440</wp:posOffset>
                  </wp:positionV>
                  <wp:extent cx="3811270" cy="1527175"/>
                  <wp:effectExtent l="0" t="0" r="13970" b="12065"/>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7"/>
                          <a:stretch>
                            <a:fillRect/>
                          </a:stretch>
                        </pic:blipFill>
                        <pic:spPr>
                          <a:xfrm>
                            <a:off x="0" y="0"/>
                            <a:ext cx="3811396" cy="1526984"/>
                          </a:xfrm>
                          <a:prstGeom prst="rect">
                            <a:avLst/>
                          </a:prstGeom>
                        </pic:spPr>
                      </pic:pic>
                    </a:graphicData>
                  </a:graphic>
                </wp:anchor>
              </w:drawing>
            </w:r>
          </w:p>
          <w:tbl>
            <w:tblPr>
              <w:tblStyle w:val="27"/>
              <w:tblW w:w="6531" w:type="dxa"/>
              <w:tblInd w:w="55" w:type="dxa"/>
              <w:tblBorders>
                <w:top w:val="single" w:color="868686" w:sz="6" w:space="0"/>
                <w:left w:val="single" w:color="868686" w:sz="6" w:space="0"/>
                <w:bottom w:val="single" w:color="868686" w:sz="6" w:space="0"/>
                <w:right w:val="single" w:color="868686" w:sz="6" w:space="0"/>
                <w:insideH w:val="single" w:color="868686" w:sz="6" w:space="0"/>
                <w:insideV w:val="single" w:color="868686" w:sz="6" w:space="0"/>
              </w:tblBorders>
              <w:tblLayout w:type="fixed"/>
              <w:tblCellMar>
                <w:top w:w="0" w:type="dxa"/>
                <w:left w:w="0" w:type="dxa"/>
                <w:bottom w:w="0" w:type="dxa"/>
                <w:right w:w="0" w:type="dxa"/>
              </w:tblCellMar>
            </w:tblPr>
            <w:tblGrid>
              <w:gridCol w:w="6531"/>
            </w:tblGrid>
            <w:tr w14:paraId="0BCAA508">
              <w:tblPrEx>
                <w:tblBorders>
                  <w:top w:val="single" w:color="868686" w:sz="6" w:space="0"/>
                  <w:left w:val="single" w:color="868686" w:sz="6" w:space="0"/>
                  <w:bottom w:val="single" w:color="868686" w:sz="6" w:space="0"/>
                  <w:right w:val="single" w:color="868686" w:sz="6" w:space="0"/>
                  <w:insideH w:val="single" w:color="868686" w:sz="6" w:space="0"/>
                  <w:insideV w:val="single" w:color="868686" w:sz="6" w:space="0"/>
                </w:tblBorders>
                <w:tblCellMar>
                  <w:top w:w="0" w:type="dxa"/>
                  <w:left w:w="0" w:type="dxa"/>
                  <w:bottom w:w="0" w:type="dxa"/>
                  <w:right w:w="0" w:type="dxa"/>
                </w:tblCellMar>
              </w:tblPrEx>
              <w:trPr>
                <w:trHeight w:val="528" w:hRule="atLeast"/>
              </w:trPr>
              <w:tc>
                <w:tcPr>
                  <w:tcW w:w="6531" w:type="dxa"/>
                  <w:tcBorders>
                    <w:right w:val="nil"/>
                  </w:tcBorders>
                  <w:vAlign w:val="top"/>
                </w:tcPr>
                <w:p w14:paraId="14A1587B">
                  <w:pPr>
                    <w:widowControl/>
                    <w:kinsoku w:val="0"/>
                    <w:autoSpaceDE w:val="0"/>
                    <w:autoSpaceDN w:val="0"/>
                    <w:spacing w:before="148" w:line="232" w:lineRule="auto"/>
                    <w:ind w:left="1769" w:firstLine="0" w:firstLineChars="0"/>
                    <w:jc w:val="left"/>
                    <w:textAlignment w:val="baseline"/>
                    <w:rPr>
                      <w:rFonts w:ascii="Calibri" w:hAnsi="Calibri" w:eastAsia="Calibri" w:cs="Calibri"/>
                      <w:snapToGrid w:val="0"/>
                      <w:color w:val="000000"/>
                      <w:kern w:val="0"/>
                      <w:sz w:val="19"/>
                      <w:szCs w:val="19"/>
                      <w:lang w:eastAsia="en-US"/>
                    </w:rPr>
                  </w:pPr>
                  <w:r>
                    <w:rPr>
                      <w:rFonts w:ascii="Arial" w:hAnsi="Arial" w:eastAsia="Arial" w:cs="Arial"/>
                      <w:snapToGrid w:val="0"/>
                      <w:color w:val="000000"/>
                      <w:kern w:val="0"/>
                      <w:sz w:val="21"/>
                      <w:szCs w:val="21"/>
                      <w:lang w:eastAsia="en-US"/>
                    </w:rPr>
                    <w:drawing>
                      <wp:anchor distT="0" distB="0" distL="0" distR="0" simplePos="0" relativeHeight="251666432" behindDoc="0" locked="0" layoutInCell="1" allowOverlap="1">
                        <wp:simplePos x="0" y="0"/>
                        <wp:positionH relativeFrom="rightMargin">
                          <wp:posOffset>-3221990</wp:posOffset>
                        </wp:positionH>
                        <wp:positionV relativeFrom="topMargin">
                          <wp:posOffset>186055</wp:posOffset>
                        </wp:positionV>
                        <wp:extent cx="95250" cy="95250"/>
                        <wp:effectExtent l="0" t="0" r="11430" b="1143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8"/>
                                <a:stretch>
                                  <a:fillRect/>
                                </a:stretch>
                              </pic:blipFill>
                              <pic:spPr>
                                <a:xfrm>
                                  <a:off x="0" y="0"/>
                                  <a:ext cx="95127" cy="95127"/>
                                </a:xfrm>
                                <a:prstGeom prst="rect">
                                  <a:avLst/>
                                </a:prstGeom>
                              </pic:spPr>
                            </pic:pic>
                          </a:graphicData>
                        </a:graphic>
                      </wp:anchor>
                    </w:drawing>
                  </w:r>
                  <w:r>
                    <w:rPr>
                      <w:rFonts w:ascii="Calibri" w:hAnsi="Calibri" w:eastAsia="Calibri" w:cs="Calibri"/>
                      <w:snapToGrid w:val="0"/>
                      <w:color w:val="000000"/>
                      <w:spacing w:val="3"/>
                      <w:kern w:val="0"/>
                      <w:sz w:val="19"/>
                      <w:szCs w:val="19"/>
                      <w:lang w:eastAsia="en-US"/>
                    </w:rPr>
                    <w:t>Q=21.50m</w:t>
                  </w:r>
                  <w:r>
                    <w:rPr>
                      <w:rFonts w:ascii="Calibri" w:hAnsi="Calibri" w:eastAsia="Calibri" w:cs="Calibri"/>
                      <w:snapToGrid w:val="0"/>
                      <w:color w:val="000000"/>
                      <w:spacing w:val="3"/>
                      <w:kern w:val="0"/>
                      <w:position w:val="5"/>
                      <w:sz w:val="13"/>
                      <w:szCs w:val="13"/>
                      <w:lang w:eastAsia="en-US"/>
                    </w:rPr>
                    <w:t>3</w:t>
                  </w:r>
                  <w:r>
                    <w:rPr>
                      <w:rFonts w:ascii="Calibri" w:hAnsi="Calibri" w:eastAsia="Calibri" w:cs="Calibri"/>
                      <w:snapToGrid w:val="0"/>
                      <w:color w:val="000000"/>
                      <w:spacing w:val="3"/>
                      <w:kern w:val="0"/>
                      <w:sz w:val="19"/>
                      <w:szCs w:val="19"/>
                      <w:lang w:eastAsia="en-US"/>
                    </w:rPr>
                    <w:t>/s</w:t>
                  </w:r>
                </w:p>
              </w:tc>
            </w:tr>
            <w:tr w14:paraId="3DFF43AE">
              <w:tblPrEx>
                <w:tblBorders>
                  <w:top w:val="single" w:color="868686" w:sz="6" w:space="0"/>
                  <w:left w:val="single" w:color="868686" w:sz="6" w:space="0"/>
                  <w:bottom w:val="single" w:color="868686" w:sz="6" w:space="0"/>
                  <w:right w:val="single" w:color="868686" w:sz="6" w:space="0"/>
                  <w:insideH w:val="single" w:color="868686" w:sz="6" w:space="0"/>
                  <w:insideV w:val="single" w:color="868686" w:sz="6" w:space="0"/>
                </w:tblBorders>
                <w:tblCellMar>
                  <w:top w:w="0" w:type="dxa"/>
                  <w:left w:w="0" w:type="dxa"/>
                  <w:bottom w:w="0" w:type="dxa"/>
                  <w:right w:w="0" w:type="dxa"/>
                </w:tblCellMar>
              </w:tblPrEx>
              <w:trPr>
                <w:trHeight w:val="520" w:hRule="atLeast"/>
              </w:trPr>
              <w:tc>
                <w:tcPr>
                  <w:tcW w:w="6531" w:type="dxa"/>
                  <w:tcBorders>
                    <w:right w:val="nil"/>
                  </w:tcBorders>
                  <w:vAlign w:val="top"/>
                </w:tcPr>
                <w:p w14:paraId="6F3493E3">
                  <w:pPr>
                    <w:widowControl/>
                    <w:kinsoku w:val="0"/>
                    <w:autoSpaceDE w:val="0"/>
                    <w:autoSpaceDN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11FB1AE3">
              <w:tblPrEx>
                <w:tblBorders>
                  <w:top w:val="single" w:color="868686" w:sz="6" w:space="0"/>
                  <w:left w:val="single" w:color="868686" w:sz="6" w:space="0"/>
                  <w:bottom w:val="single" w:color="868686" w:sz="6" w:space="0"/>
                  <w:right w:val="single" w:color="868686" w:sz="6" w:space="0"/>
                  <w:insideH w:val="single" w:color="868686" w:sz="6" w:space="0"/>
                  <w:insideV w:val="single" w:color="868686" w:sz="6" w:space="0"/>
                </w:tblBorders>
                <w:tblCellMar>
                  <w:top w:w="0" w:type="dxa"/>
                  <w:left w:w="0" w:type="dxa"/>
                  <w:bottom w:w="0" w:type="dxa"/>
                  <w:right w:w="0" w:type="dxa"/>
                </w:tblCellMar>
              </w:tblPrEx>
              <w:trPr>
                <w:trHeight w:val="520" w:hRule="atLeast"/>
              </w:trPr>
              <w:tc>
                <w:tcPr>
                  <w:tcW w:w="6531" w:type="dxa"/>
                  <w:tcBorders>
                    <w:right w:val="nil"/>
                  </w:tcBorders>
                  <w:vAlign w:val="top"/>
                </w:tcPr>
                <w:p w14:paraId="4787F51A">
                  <w:pPr>
                    <w:widowControl/>
                    <w:kinsoku w:val="0"/>
                    <w:autoSpaceDE w:val="0"/>
                    <w:autoSpaceDN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2E77E943">
              <w:tblPrEx>
                <w:tblBorders>
                  <w:top w:val="single" w:color="868686" w:sz="6" w:space="0"/>
                  <w:left w:val="single" w:color="868686" w:sz="6" w:space="0"/>
                  <w:bottom w:val="single" w:color="868686" w:sz="6" w:space="0"/>
                  <w:right w:val="single" w:color="868686" w:sz="6" w:space="0"/>
                  <w:insideH w:val="single" w:color="868686" w:sz="6" w:space="0"/>
                  <w:insideV w:val="single" w:color="868686" w:sz="6" w:space="0"/>
                </w:tblBorders>
                <w:tblCellMar>
                  <w:top w:w="0" w:type="dxa"/>
                  <w:left w:w="0" w:type="dxa"/>
                  <w:bottom w:w="0" w:type="dxa"/>
                  <w:right w:w="0" w:type="dxa"/>
                </w:tblCellMar>
              </w:tblPrEx>
              <w:trPr>
                <w:trHeight w:val="520" w:hRule="atLeast"/>
              </w:trPr>
              <w:tc>
                <w:tcPr>
                  <w:tcW w:w="6531" w:type="dxa"/>
                  <w:tcBorders>
                    <w:right w:val="nil"/>
                  </w:tcBorders>
                  <w:vAlign w:val="top"/>
                </w:tcPr>
                <w:p w14:paraId="63A926AB">
                  <w:pPr>
                    <w:widowControl/>
                    <w:kinsoku w:val="0"/>
                    <w:autoSpaceDE w:val="0"/>
                    <w:autoSpaceDN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156BD73F">
              <w:tblPrEx>
                <w:tblBorders>
                  <w:top w:val="single" w:color="868686" w:sz="6" w:space="0"/>
                  <w:left w:val="single" w:color="868686" w:sz="6" w:space="0"/>
                  <w:bottom w:val="single" w:color="868686" w:sz="6" w:space="0"/>
                  <w:right w:val="single" w:color="868686" w:sz="6" w:space="0"/>
                  <w:insideH w:val="single" w:color="868686" w:sz="6" w:space="0"/>
                  <w:insideV w:val="single" w:color="868686" w:sz="6" w:space="0"/>
                </w:tblBorders>
                <w:tblCellMar>
                  <w:top w:w="0" w:type="dxa"/>
                  <w:left w:w="0" w:type="dxa"/>
                  <w:bottom w:w="0" w:type="dxa"/>
                  <w:right w:w="0" w:type="dxa"/>
                </w:tblCellMar>
              </w:tblPrEx>
              <w:trPr>
                <w:trHeight w:val="521" w:hRule="atLeast"/>
              </w:trPr>
              <w:tc>
                <w:tcPr>
                  <w:tcW w:w="6531" w:type="dxa"/>
                  <w:tcBorders>
                    <w:right w:val="nil"/>
                  </w:tcBorders>
                  <w:vAlign w:val="top"/>
                </w:tcPr>
                <w:p w14:paraId="0164E82F">
                  <w:pPr>
                    <w:widowControl/>
                    <w:kinsoku w:val="0"/>
                    <w:autoSpaceDE w:val="0"/>
                    <w:autoSpaceDN w:val="0"/>
                    <w:spacing w:line="240" w:lineRule="auto"/>
                    <w:ind w:firstLine="0" w:firstLineChars="0"/>
                    <w:jc w:val="left"/>
                    <w:textAlignment w:val="baseline"/>
                    <w:rPr>
                      <w:rFonts w:ascii="Arial" w:hAnsi="Arial" w:eastAsia="Arial" w:cs="Arial"/>
                      <w:snapToGrid w:val="0"/>
                      <w:color w:val="000000"/>
                      <w:kern w:val="0"/>
                      <w:sz w:val="21"/>
                      <w:szCs w:val="21"/>
                      <w:lang w:eastAsia="en-US"/>
                    </w:rPr>
                  </w:pPr>
                  <w:r>
                    <w:rPr>
                      <w:rFonts w:ascii="Arial" w:hAnsi="Arial" w:eastAsia="Arial" w:cs="Arial"/>
                      <w:snapToGrid w:val="0"/>
                      <w:color w:val="000000"/>
                      <w:kern w:val="0"/>
                      <w:sz w:val="21"/>
                      <w:szCs w:val="21"/>
                      <w:lang w:eastAsia="en-US"/>
                    </w:rPr>
                    <w:drawing>
                      <wp:anchor distT="0" distB="0" distL="0" distR="0" simplePos="0" relativeHeight="251665408" behindDoc="0" locked="0" layoutInCell="1" allowOverlap="1">
                        <wp:simplePos x="0" y="0"/>
                        <wp:positionH relativeFrom="rightMargin">
                          <wp:posOffset>-3779520</wp:posOffset>
                        </wp:positionH>
                        <wp:positionV relativeFrom="topMargin">
                          <wp:posOffset>144780</wp:posOffset>
                        </wp:positionV>
                        <wp:extent cx="95250" cy="95250"/>
                        <wp:effectExtent l="0" t="0" r="11430" b="1143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9"/>
                                <a:stretch>
                                  <a:fillRect/>
                                </a:stretch>
                              </pic:blipFill>
                              <pic:spPr>
                                <a:xfrm>
                                  <a:off x="0" y="0"/>
                                  <a:ext cx="95127" cy="95127"/>
                                </a:xfrm>
                                <a:prstGeom prst="rect">
                                  <a:avLst/>
                                </a:prstGeom>
                              </pic:spPr>
                            </pic:pic>
                          </a:graphicData>
                        </a:graphic>
                      </wp:anchor>
                    </w:drawing>
                  </w:r>
                  <w:r>
                    <w:rPr>
                      <w:rFonts w:ascii="Arial" w:hAnsi="Arial" w:eastAsia="Arial" w:cs="Arial"/>
                      <w:snapToGrid w:val="0"/>
                      <w:color w:val="000000"/>
                      <w:kern w:val="0"/>
                      <w:sz w:val="21"/>
                      <w:szCs w:val="21"/>
                      <w:lang w:eastAsia="en-US"/>
                    </w:rPr>
                    <w:drawing>
                      <wp:anchor distT="0" distB="0" distL="0" distR="0" simplePos="0" relativeHeight="251667456" behindDoc="0" locked="0" layoutInCell="1" allowOverlap="1">
                        <wp:simplePos x="0" y="0"/>
                        <wp:positionH relativeFrom="rightMargin">
                          <wp:posOffset>-4151630</wp:posOffset>
                        </wp:positionH>
                        <wp:positionV relativeFrom="topMargin">
                          <wp:posOffset>-1270</wp:posOffset>
                        </wp:positionV>
                        <wp:extent cx="3818255" cy="344805"/>
                        <wp:effectExtent l="0" t="0" r="6985" b="5715"/>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20"/>
                                <a:stretch>
                                  <a:fillRect/>
                                </a:stretch>
                              </pic:blipFill>
                              <pic:spPr>
                                <a:xfrm>
                                  <a:off x="0" y="0"/>
                                  <a:ext cx="3818136" cy="344934"/>
                                </a:xfrm>
                                <a:prstGeom prst="rect">
                                  <a:avLst/>
                                </a:prstGeom>
                              </pic:spPr>
                            </pic:pic>
                          </a:graphicData>
                        </a:graphic>
                      </wp:anchor>
                    </w:drawing>
                  </w:r>
                </w:p>
              </w:tc>
            </w:tr>
            <w:tr w14:paraId="00F6C190">
              <w:tblPrEx>
                <w:tblBorders>
                  <w:top w:val="single" w:color="868686" w:sz="6" w:space="0"/>
                  <w:left w:val="single" w:color="868686" w:sz="6" w:space="0"/>
                  <w:bottom w:val="single" w:color="868686" w:sz="6" w:space="0"/>
                  <w:right w:val="single" w:color="868686" w:sz="6" w:space="0"/>
                  <w:insideH w:val="single" w:color="868686" w:sz="6" w:space="0"/>
                  <w:insideV w:val="single" w:color="868686" w:sz="6" w:space="0"/>
                </w:tblBorders>
                <w:tblCellMar>
                  <w:top w:w="0" w:type="dxa"/>
                  <w:left w:w="0" w:type="dxa"/>
                  <w:bottom w:w="0" w:type="dxa"/>
                  <w:right w:w="0" w:type="dxa"/>
                </w:tblCellMar>
              </w:tblPrEx>
              <w:trPr>
                <w:trHeight w:val="528" w:hRule="atLeast"/>
              </w:trPr>
              <w:tc>
                <w:tcPr>
                  <w:tcW w:w="6531" w:type="dxa"/>
                  <w:tcBorders>
                    <w:right w:val="nil"/>
                  </w:tcBorders>
                  <w:vAlign w:val="top"/>
                </w:tcPr>
                <w:p w14:paraId="2B9C2B92">
                  <w:pPr>
                    <w:widowControl/>
                    <w:kinsoku w:val="0"/>
                    <w:autoSpaceDE w:val="0"/>
                    <w:autoSpaceDN w:val="0"/>
                    <w:spacing w:before="149" w:line="188" w:lineRule="auto"/>
                    <w:ind w:firstLine="0" w:firstLineChars="0"/>
                    <w:jc w:val="right"/>
                    <w:textAlignment w:val="baseline"/>
                    <w:rPr>
                      <w:rFonts w:ascii="宋体" w:hAnsi="宋体" w:eastAsia="宋体" w:cs="宋体"/>
                      <w:snapToGrid w:val="0"/>
                      <w:color w:val="000000"/>
                      <w:kern w:val="0"/>
                      <w:sz w:val="19"/>
                      <w:szCs w:val="19"/>
                      <w:lang w:eastAsia="en-US"/>
                    </w:rPr>
                  </w:pPr>
                  <w:r>
                    <w:rPr>
                      <w:rFonts w:ascii="Arial" w:hAnsi="Arial" w:eastAsia="Arial" w:cs="Arial"/>
                      <w:snapToGrid w:val="0"/>
                      <w:color w:val="000000"/>
                      <w:kern w:val="0"/>
                      <w:sz w:val="21"/>
                      <w:szCs w:val="21"/>
                      <w:lang w:eastAsia="en-US"/>
                    </w:rPr>
                    <mc:AlternateContent>
                      <mc:Choice Requires="wpg">
                        <w:drawing>
                          <wp:anchor distT="0" distB="0" distL="114300" distR="114300" simplePos="0" relativeHeight="251668480" behindDoc="0" locked="0" layoutInCell="1" allowOverlap="1">
                            <wp:simplePos x="0" y="0"/>
                            <wp:positionH relativeFrom="rightMargin">
                              <wp:posOffset>-4151630</wp:posOffset>
                            </wp:positionH>
                            <wp:positionV relativeFrom="topMargin">
                              <wp:posOffset>-4445</wp:posOffset>
                            </wp:positionV>
                            <wp:extent cx="4091940" cy="51435"/>
                            <wp:effectExtent l="0" t="0" r="7620" b="9525"/>
                            <wp:wrapNone/>
                            <wp:docPr id="12" name="组合 12"/>
                            <wp:cNvGraphicFramePr/>
                            <a:graphic xmlns:a="http://schemas.openxmlformats.org/drawingml/2006/main">
                              <a:graphicData uri="http://schemas.microsoft.com/office/word/2010/wordprocessingGroup">
                                <wpg:wgp>
                                  <wpg:cNvGrpSpPr/>
                                  <wpg:grpSpPr>
                                    <a:xfrm>
                                      <a:off x="0" y="0"/>
                                      <a:ext cx="4091940" cy="51435"/>
                                      <a:chOff x="0" y="0"/>
                                      <a:chExt cx="6444" cy="81"/>
                                    </a:xfrm>
                                  </wpg:grpSpPr>
                                  <wps:wsp>
                                    <wps:cNvPr id="6" name="任意多边形 6"/>
                                    <wps:cNvSpPr/>
                                    <wps:spPr>
                                      <a:xfrm>
                                        <a:off x="1126" y="6"/>
                                        <a:ext cx="5317" cy="58"/>
                                      </a:xfrm>
                                      <a:custGeom>
                                        <a:avLst/>
                                        <a:gdLst/>
                                        <a:ahLst/>
                                        <a:cxnLst/>
                                        <a:pathLst>
                                          <a:path w="5317" h="58">
                                            <a:moveTo>
                                              <a:pt x="7" y="0"/>
                                            </a:moveTo>
                                            <a:lnTo>
                                              <a:pt x="7" y="57"/>
                                            </a:lnTo>
                                            <a:moveTo>
                                              <a:pt x="1068" y="0"/>
                                            </a:moveTo>
                                            <a:lnTo>
                                              <a:pt x="1068" y="57"/>
                                            </a:lnTo>
                                            <a:moveTo>
                                              <a:pt x="2129" y="0"/>
                                            </a:moveTo>
                                            <a:lnTo>
                                              <a:pt x="2129" y="57"/>
                                            </a:lnTo>
                                            <a:moveTo>
                                              <a:pt x="3189" y="0"/>
                                            </a:moveTo>
                                            <a:lnTo>
                                              <a:pt x="3189" y="57"/>
                                            </a:lnTo>
                                            <a:moveTo>
                                              <a:pt x="4250" y="0"/>
                                            </a:moveTo>
                                            <a:lnTo>
                                              <a:pt x="4250" y="57"/>
                                            </a:lnTo>
                                            <a:moveTo>
                                              <a:pt x="5309" y="0"/>
                                            </a:moveTo>
                                            <a:lnTo>
                                              <a:pt x="5309" y="57"/>
                                            </a:lnTo>
                                          </a:path>
                                        </a:pathLst>
                                      </a:custGeom>
                                      <a:noFill/>
                                      <a:ln w="9525" cap="flat" cmpd="sng">
                                        <a:solidFill>
                                          <a:srgbClr val="868686"/>
                                        </a:solidFill>
                                        <a:prstDash val="solid"/>
                                        <a:headEnd type="none" w="med" len="med"/>
                                        <a:tailEnd type="none" w="med" len="med"/>
                                      </a:ln>
                                    </wps:spPr>
                                    <wps:bodyPr upright="1"/>
                                  </wps:wsp>
                                  <wps:wsp>
                                    <wps:cNvPr id="9" name="任意多边形 9"/>
                                    <wps:cNvSpPr/>
                                    <wps:spPr>
                                      <a:xfrm>
                                        <a:off x="0" y="0"/>
                                        <a:ext cx="6012" cy="81"/>
                                      </a:xfrm>
                                      <a:custGeom>
                                        <a:avLst/>
                                        <a:gdLst/>
                                        <a:ahLst/>
                                        <a:cxnLst/>
                                        <a:pathLst>
                                          <a:path w="6012" h="81">
                                            <a:moveTo>
                                              <a:pt x="144" y="5"/>
                                            </a:moveTo>
                                            <a:lnTo>
                                              <a:pt x="74" y="74"/>
                                            </a:lnTo>
                                            <a:lnTo>
                                              <a:pt x="5" y="5"/>
                                            </a:lnTo>
                                            <a:moveTo>
                                              <a:pt x="6007" y="5"/>
                                            </a:moveTo>
                                            <a:lnTo>
                                              <a:pt x="5938" y="74"/>
                                            </a:lnTo>
                                            <a:lnTo>
                                              <a:pt x="5868" y="5"/>
                                            </a:lnTo>
                                          </a:path>
                                        </a:pathLst>
                                      </a:custGeom>
                                      <a:noFill/>
                                      <a:ln w="9525" cap="flat" cmpd="sng">
                                        <a:solidFill>
                                          <a:srgbClr val="4A7EBB"/>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0.35pt;margin-top:0.4pt;height:4.05pt;width:322.2pt;mso-position-horizontal-relative:page;mso-position-vertical-relative:page;z-index:251668480;mso-width-relative:page;mso-height-relative:page;" coordsize="6444,81" o:gfxdata="UEsDBAoAAAAAAIdO4kAAAAAAAAAAAAAAAAAEAAAAZHJzL1BLAwQUAAAACACHTuJA3gjoBtgAAAAH&#10;AQAADwAAAGRycy9kb3ducmV2LnhtbE3OTUvDQBAG4Lvgf1hG8JZuYr80ZlOkqKdSsBXE2zSZJqHZ&#10;2ZDdJu2/dzzpbYZ5eefJVhfbqoF63zg2kExiUMSFKxuuDHzu36JHUD4gl9g6JgNX8rDKb28yTEs3&#10;8gcNu1ApKWGfooE6hC7V2hc1WfQT1xHL7eh6i0HWvtJlj6OU21Y/xPFCW2xYPtTY0bqm4rQ7WwPv&#10;I44v0+R12JyO6+v3fr792iRkzP1dEj+DCnQJf2H45QsdcjEd3JlLr1oD0WI+FXuQaQlKAtHTDNTB&#10;wHIGOs/0f3/+A1BLAwQUAAAACACHTuJA7b6bzlIDAACYCgAADgAAAGRycy9lMm9Eb2MueG1s1Vbd&#10;btMwFL5H4h2i3LP8NOnaaO3E6LYbBJM2HsBLnB8psS3bbdr7XXAH11wiXgJN8DQMeAyO7STt2olG&#10;TJqEKqUn9vF3zvl8/DlHx8uqtBaYi4KSie0duLaFSUyTgmQT+93V2YuRbQmJSIJKSvDEXmFhH0+f&#10;PzuqWYR9mtMywdwCECKimk3sXEoWOY6Ic1whcUAZJjCZUl4hCa88cxKOakCvSsd33aFTU54wTmMs&#10;BIzOzKTdIPI+gDRNixjPaDyvMJEGleMSSShJ5AUT9lRnm6Y4lm/TVGBplRMbKpX6CUHAvlZPZ3qE&#10;oowjlhdxkwLqk8JWTRUqCATtoGZIImvOix2oqog5FTSVBzGtHFOIZgSq8Nwtbs45nTNdSxbVGetI&#10;h43aYv2fYeM3iwtuFQl0gm9bBFWw479ub+4+vrdgANipWRaB0zlnl+yCNwOZeVMFL1NeqX8oxVpq&#10;Xlcdr3gprRgGA3fsjQOgPIa50AsGoeE9zmFzdlbF+WmzbhgEgVk08tQKpw3nqKy6JGoGnSjW9IjH&#10;0XOZI4Y160JV3tAzbNn5cXv78+bD3ZdPv79/vfv22RoalrRvR5GIBLD1AD+e5wMS0KCXoailKBx4&#10;hw0/o3uloiieC3mOqWYZLV4LaXo2aS2Ut1a8JK3JkFTDKgNlWjUQr0PkYIx0q1Z0ga+o9pBqEyB+&#10;u3VA9Hq2JLte4WGTZDu5dmcazHOHoCM98DrHvZC+5497QXaOeyEH3qgfZOe4FzLwQ2j0HoV3jnsh&#10;w4HbL8vOcQsStlM1gT5AXWPA4GZnEXpWlKVurZKodhmHfggdiUDiU5BWMCsGMiFIprtH0LJI1BLV&#10;QIJn169Kbi0QyOxoqH5Nf9xzY1zIGRK58dNTyg1FOUbJKUksuWKgPwTuHVulUOHEtkoM15SytKdE&#10;RdnHE6orCRSstMEcRWVd02QF53nOeJHlcBcYVWn0Q2ndEwgJbKWR2W0hGasKVQogOvuFZKPJ1ioy&#10;dJWKK5XdEsz7e/0YFTEhQEUggtq6nYOvJBsS0BL/Nx0xbodB0yitkLT/RkagAzew2rntmEPXNeK1&#10;L2g4HhhV2hcWOviByE97joKXh6cnJw09/9U50tczfLBowWk+rtQX0ea7PpvrD8rp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MFAABbQ29udGVu&#10;dF9UeXBlc10ueG1sUEsBAhQACgAAAAAAh07iQAAAAAAAAAAAAAAAAAYAAAAAAAAAAAAQAAAApQQA&#10;AF9yZWxzL1BLAQIUABQAAAAIAIdO4kCKFGY80QAAAJQBAAALAAAAAAAAAAEAIAAAAMkEAABfcmVs&#10;cy8ucmVsc1BLAQIUAAoAAAAAAIdO4kAAAAAAAAAAAAAAAAAEAAAAAAAAAAAAEAAAAAAAAABkcnMv&#10;UEsBAhQAFAAAAAgAh07iQN4I6AbYAAAABwEAAA8AAAAAAAAAAQAgAAAAIgAAAGRycy9kb3ducmV2&#10;LnhtbFBLAQIUABQAAAAIAIdO4kDtvpvOUgMAAJgKAAAOAAAAAAAAAAEAIAAAACcBAABkcnMvZTJv&#10;RG9jLnhtbFBLBQYAAAAABgAGAFkBAADrBgAAAAA=&#10;">
                            <o:lock v:ext="edit" aspectratio="f"/>
                            <v:shape id="_x0000_s1026" o:spid="_x0000_s1026" o:spt="100" style="position:absolute;left:1126;top:6;height:58;width:5317;" filled="f" stroked="t" coordsize="5317,58" o:gfxdata="UEsDBAoAAAAAAIdO4kAAAAAAAAAAAAAAAAAEAAAAZHJzL1BLAwQUAAAACACHTuJAuRYpOLsAAADa&#10;AAAADwAAAGRycy9kb3ducmV2LnhtbEWPT4vCMBTE78J+h/AWvIgmKuhSm8qyIggexFrY66N5tsXm&#10;pTTx37c3Cwseh5n5DZOuH7YVN+p941jDdKJAEJfONFxpKE7b8RcIH5ANto5Jw5M8rLOPQYqJcXc+&#10;0i0PlYgQ9glqqEPoEil9WZNFP3EdcfTOrrcYouwraXq8R7ht5UyphbTYcFyosaOfmspLfrUaukLZ&#10;3+Vh4+bF3h/NMkj+Hkmth59TtQIR6BHe4f/2zmhYwN+VeANk9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RYpOLsAAADa&#10;AAAADwAAAAAAAAABACAAAAAiAAAAZHJzL2Rvd25yZXYueG1sUEsBAhQAFAAAAAgAh07iQDMvBZ47&#10;AAAAOQAAABAAAAAAAAAAAQAgAAAACgEAAGRycy9zaGFwZXhtbC54bWxQSwUGAAAAAAYABgBbAQAA&#10;tAMAAAAA&#10;" path="m7,0l7,57m1068,0l1068,57m2129,0l2129,57m3189,0l3189,57m4250,0l4250,57m5309,0l5309,57e">
                              <v:fill on="f" focussize="0,0"/>
                              <v:stroke color="#868686" joinstyle="round"/>
                              <v:imagedata o:title=""/>
                              <o:lock v:ext="edit" aspectratio="f"/>
                            </v:shape>
                            <v:shape id="_x0000_s1026" o:spid="_x0000_s1026" o:spt="100" style="position:absolute;left:0;top:0;height:81;width:6012;" filled="f" stroked="t" coordsize="6012,81" o:gfxdata="UEsDBAoAAAAAAIdO4kAAAAAAAAAAAAAAAAAEAAAAZHJzL1BLAwQUAAAACACHTuJAzRinmrsAAADa&#10;AAAADwAAAGRycy9kb3ducmV2LnhtbEWPQWvCQBSE70L/w/IEb7qJBzFpNh6KLYKXGoVeH9nXbDD7&#10;NmS3Sfz33ULB4zAz3zDFYbadGGnwrWMF6SYBQVw73XKj4HZ9X+9B+ICssXNMCh7k4VC+LArMtZv4&#10;QmMVGhEh7HNUYELocyl9bcii37ieOHrfbrAYohwaqQecItx2cpskO2mx5bhgsKc3Q/W9+rEKwmiP&#10;XYtzar5GnX1m5/uHy25KrZZp8goi0Bye4f/2SSvI4O9KvAGy/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RinmrsAAADa&#10;AAAADwAAAAAAAAABACAAAAAiAAAAZHJzL2Rvd25yZXYueG1sUEsBAhQAFAAAAAgAh07iQDMvBZ47&#10;AAAAOQAAABAAAAAAAAAAAQAgAAAACgEAAGRycy9zaGFwZXhtbC54bWxQSwUGAAAAAAYABgBbAQAA&#10;tAMAAAAA&#10;" path="m144,5l74,74,5,5m6007,5l5938,74,5868,5e">
                              <v:fill on="f" focussize="0,0"/>
                              <v:stroke color="#4A7EBB" joinstyle="round"/>
                              <v:imagedata o:title=""/>
                              <o:lock v:ext="edit" aspectratio="f"/>
                            </v:shape>
                          </v:group>
                        </w:pict>
                      </mc:Fallback>
                    </mc:AlternateContent>
                  </w:r>
                  <w:r>
                    <w:rPr>
                      <w:rFonts w:ascii="宋体" w:hAnsi="宋体" w:eastAsia="宋体" w:cs="宋体"/>
                      <w:snapToGrid w:val="0"/>
                      <w:color w:val="000000"/>
                      <w:spacing w:val="-6"/>
                      <w:kern w:val="0"/>
                      <w:sz w:val="19"/>
                      <w:szCs w:val="19"/>
                      <w:lang w:eastAsia="en-US"/>
                    </w:rPr>
                    <w:t>0</w:t>
                  </w:r>
                  <w:r>
                    <w:rPr>
                      <w:rFonts w:ascii="宋体" w:hAnsi="宋体" w:eastAsia="宋体" w:cs="宋体"/>
                      <w:snapToGrid w:val="0"/>
                      <w:color w:val="000000"/>
                      <w:spacing w:val="2"/>
                      <w:kern w:val="0"/>
                      <w:sz w:val="19"/>
                      <w:szCs w:val="19"/>
                      <w:lang w:eastAsia="en-US"/>
                    </w:rPr>
                    <w:t xml:space="preserve">          </w:t>
                  </w:r>
                  <w:r>
                    <w:rPr>
                      <w:rFonts w:ascii="宋体" w:hAnsi="宋体" w:eastAsia="宋体" w:cs="宋体"/>
                      <w:snapToGrid w:val="0"/>
                      <w:color w:val="000000"/>
                      <w:spacing w:val="-6"/>
                      <w:kern w:val="0"/>
                      <w:sz w:val="19"/>
                      <w:szCs w:val="19"/>
                      <w:lang w:eastAsia="en-US"/>
                    </w:rPr>
                    <w:t>2</w:t>
                  </w:r>
                  <w:r>
                    <w:rPr>
                      <w:rFonts w:ascii="宋体" w:hAnsi="宋体" w:eastAsia="宋体" w:cs="宋体"/>
                      <w:snapToGrid w:val="0"/>
                      <w:color w:val="000000"/>
                      <w:spacing w:val="2"/>
                      <w:kern w:val="0"/>
                      <w:sz w:val="19"/>
                      <w:szCs w:val="19"/>
                      <w:lang w:eastAsia="en-US"/>
                    </w:rPr>
                    <w:t xml:space="preserve">          </w:t>
                  </w:r>
                  <w:r>
                    <w:rPr>
                      <w:rFonts w:ascii="宋体" w:hAnsi="宋体" w:eastAsia="宋体" w:cs="宋体"/>
                      <w:snapToGrid w:val="0"/>
                      <w:color w:val="000000"/>
                      <w:spacing w:val="-6"/>
                      <w:kern w:val="0"/>
                      <w:sz w:val="19"/>
                      <w:szCs w:val="19"/>
                      <w:lang w:eastAsia="en-US"/>
                    </w:rPr>
                    <w:t>4</w:t>
                  </w:r>
                  <w:r>
                    <w:rPr>
                      <w:rFonts w:ascii="宋体" w:hAnsi="宋体" w:eastAsia="宋体" w:cs="宋体"/>
                      <w:snapToGrid w:val="0"/>
                      <w:color w:val="000000"/>
                      <w:spacing w:val="2"/>
                      <w:kern w:val="0"/>
                      <w:sz w:val="19"/>
                      <w:szCs w:val="19"/>
                      <w:lang w:eastAsia="en-US"/>
                    </w:rPr>
                    <w:t xml:space="preserve">          </w:t>
                  </w:r>
                  <w:r>
                    <w:rPr>
                      <w:rFonts w:ascii="宋体" w:hAnsi="宋体" w:eastAsia="宋体" w:cs="宋体"/>
                      <w:snapToGrid w:val="0"/>
                      <w:color w:val="000000"/>
                      <w:spacing w:val="-6"/>
                      <w:kern w:val="0"/>
                      <w:sz w:val="19"/>
                      <w:szCs w:val="19"/>
                      <w:lang w:eastAsia="en-US"/>
                    </w:rPr>
                    <w:t>6</w:t>
                  </w:r>
                  <w:r>
                    <w:rPr>
                      <w:rFonts w:ascii="宋体" w:hAnsi="宋体" w:eastAsia="宋体" w:cs="宋体"/>
                      <w:snapToGrid w:val="0"/>
                      <w:color w:val="000000"/>
                      <w:spacing w:val="2"/>
                      <w:kern w:val="0"/>
                      <w:sz w:val="19"/>
                      <w:szCs w:val="19"/>
                      <w:lang w:eastAsia="en-US"/>
                    </w:rPr>
                    <w:t xml:space="preserve">          </w:t>
                  </w:r>
                  <w:r>
                    <w:rPr>
                      <w:rFonts w:ascii="宋体" w:hAnsi="宋体" w:eastAsia="宋体" w:cs="宋体"/>
                      <w:snapToGrid w:val="0"/>
                      <w:color w:val="000000"/>
                      <w:spacing w:val="-6"/>
                      <w:kern w:val="0"/>
                      <w:sz w:val="19"/>
                      <w:szCs w:val="19"/>
                      <w:lang w:eastAsia="en-US"/>
                    </w:rPr>
                    <w:t>8</w:t>
                  </w:r>
                  <w:r>
                    <w:rPr>
                      <w:rFonts w:ascii="宋体" w:hAnsi="宋体" w:eastAsia="宋体" w:cs="宋体"/>
                      <w:snapToGrid w:val="0"/>
                      <w:color w:val="000000"/>
                      <w:spacing w:val="9"/>
                      <w:kern w:val="0"/>
                      <w:sz w:val="19"/>
                      <w:szCs w:val="19"/>
                      <w:lang w:eastAsia="en-US"/>
                    </w:rPr>
                    <w:t xml:space="preserve">         </w:t>
                  </w:r>
                  <w:r>
                    <w:rPr>
                      <w:rFonts w:ascii="宋体" w:hAnsi="宋体" w:eastAsia="宋体" w:cs="宋体"/>
                      <w:snapToGrid w:val="0"/>
                      <w:color w:val="000000"/>
                      <w:spacing w:val="-6"/>
                      <w:kern w:val="0"/>
                      <w:sz w:val="19"/>
                      <w:szCs w:val="19"/>
                      <w:lang w:eastAsia="en-US"/>
                    </w:rPr>
                    <w:t>10</w:t>
                  </w:r>
                  <w:r>
                    <w:rPr>
                      <w:rFonts w:ascii="宋体" w:hAnsi="宋体" w:eastAsia="宋体" w:cs="宋体"/>
                      <w:snapToGrid w:val="0"/>
                      <w:color w:val="000000"/>
                      <w:spacing w:val="3"/>
                      <w:kern w:val="0"/>
                      <w:sz w:val="19"/>
                      <w:szCs w:val="19"/>
                      <w:lang w:eastAsia="en-US"/>
                    </w:rPr>
                    <w:t xml:space="preserve">         </w:t>
                  </w:r>
                  <w:r>
                    <w:rPr>
                      <w:rFonts w:ascii="宋体" w:hAnsi="宋体" w:eastAsia="宋体" w:cs="宋体"/>
                      <w:snapToGrid w:val="0"/>
                      <w:color w:val="000000"/>
                      <w:spacing w:val="-6"/>
                      <w:kern w:val="0"/>
                      <w:sz w:val="19"/>
                      <w:szCs w:val="19"/>
                      <w:lang w:eastAsia="en-US"/>
                    </w:rPr>
                    <w:t>12</w:t>
                  </w:r>
                </w:p>
              </w:tc>
            </w:tr>
          </w:tbl>
          <w:p w14:paraId="36F4923F">
            <w:pPr>
              <w:widowControl/>
              <w:kinsoku w:val="0"/>
              <w:autoSpaceDE w:val="0"/>
              <w:autoSpaceDN w:val="0"/>
              <w:spacing w:line="196" w:lineRule="exact"/>
              <w:ind w:firstLine="0" w:firstLineChars="0"/>
              <w:jc w:val="left"/>
              <w:textAlignment w:val="baseline"/>
              <w:rPr>
                <w:rFonts w:ascii="Arial" w:hAnsi="Arial" w:eastAsia="Arial" w:cs="Arial"/>
                <w:snapToGrid w:val="0"/>
                <w:color w:val="000000"/>
                <w:kern w:val="0"/>
                <w:sz w:val="17"/>
                <w:szCs w:val="21"/>
                <w:lang w:eastAsia="en-US"/>
              </w:rPr>
            </w:pPr>
          </w:p>
        </w:tc>
      </w:tr>
    </w:tbl>
    <w:p w14:paraId="7FB26434">
      <w:pPr>
        <w:bidi w:val="0"/>
        <w:rPr>
          <w:rFonts w:hint="default" w:ascii="Times New Roman" w:hAnsi="Times New Roman" w:cs="Times New Roman"/>
        </w:rPr>
      </w:pPr>
      <w:r>
        <w:rPr>
          <w:rFonts w:hint="default" w:ascii="Times New Roman" w:hAnsi="Times New Roman" w:cs="Times New Roman"/>
          <w:lang w:val="en-US" w:eastAsia="zh-CN"/>
        </w:rPr>
        <w:t>5.</w:t>
      </w:r>
      <w:r>
        <w:rPr>
          <w:rFonts w:hint="default" w:ascii="Times New Roman" w:hAnsi="Times New Roman" w:cs="Times New Roman"/>
        </w:rPr>
        <w:t xml:space="preserve"> 排洪排水系统</w:t>
      </w:r>
    </w:p>
    <w:p w14:paraId="140A7EC7">
      <w:pPr>
        <w:bidi w:val="0"/>
        <w:rPr>
          <w:rFonts w:hint="default" w:ascii="Times New Roman" w:hAnsi="Times New Roman" w:cs="Times New Roman"/>
        </w:rPr>
      </w:pPr>
      <w:r>
        <w:rPr>
          <w:rFonts w:hint="default" w:ascii="Times New Roman" w:hAnsi="Times New Roman" w:cs="Times New Roman"/>
        </w:rPr>
        <w:t>根据业主提供的现状测量图纸，尾矿库现状坝顶高程为 233.0m， 滩顶高程为 230.9m，库内水面高程为 229.</w:t>
      </w:r>
      <w:r>
        <w:rPr>
          <w:rFonts w:hint="eastAsia" w:ascii="Times New Roman" w:hAnsi="Times New Roman" w:cs="Times New Roman"/>
          <w:lang w:val="en-US" w:eastAsia="zh-CN"/>
        </w:rPr>
        <w:t>6</w:t>
      </w:r>
      <w:r>
        <w:rPr>
          <w:rFonts w:hint="default" w:ascii="Times New Roman" w:hAnsi="Times New Roman" w:cs="Times New Roman"/>
        </w:rPr>
        <w:t>5m，排水斜槽现状进水口高程为 229.5m，溢洪道进水口底板高程为 231.0m，尾矿库现在使用的排洪排水系统有两套，一套由排水斜槽+连接井+排洪隧洞组成，另一套为设置于右坝肩的溢洪道。</w:t>
      </w:r>
    </w:p>
    <w:p w14:paraId="0DD19E1A">
      <w:pPr>
        <w:bidi w:val="0"/>
        <w:rPr>
          <w:rFonts w:hint="default" w:ascii="Times New Roman" w:hAnsi="Times New Roman" w:cs="Times New Roman"/>
        </w:rPr>
      </w:pPr>
      <w:bookmarkStart w:id="192" w:name="bookmark48"/>
      <w:bookmarkEnd w:id="192"/>
      <w:bookmarkStart w:id="193" w:name="bookmark49"/>
      <w:bookmarkEnd w:id="193"/>
      <w:r>
        <w:rPr>
          <w:rFonts w:hint="default" w:ascii="Times New Roman" w:hAnsi="Times New Roman" w:cs="Times New Roman"/>
          <w:lang w:val="en-US" w:eastAsia="zh-CN"/>
        </w:rPr>
        <w:t>6.</w:t>
      </w:r>
      <w:r>
        <w:rPr>
          <w:rFonts w:hint="default" w:ascii="Times New Roman" w:hAnsi="Times New Roman" w:cs="Times New Roman"/>
        </w:rPr>
        <w:t>在用排水系统</w:t>
      </w:r>
    </w:p>
    <w:p w14:paraId="5F67832F">
      <w:pPr>
        <w:bidi w:val="0"/>
        <w:rPr>
          <w:rFonts w:hint="default" w:ascii="Times New Roman" w:hAnsi="Times New Roman" w:cs="Times New Roman"/>
        </w:rPr>
      </w:pPr>
      <w:r>
        <w:rPr>
          <w:rFonts w:hint="default" w:ascii="Times New Roman" w:hAnsi="Times New Roman" w:cs="Times New Roman"/>
        </w:rPr>
        <w:t>尾矿库现在使用的排洪排水系统有两套，一套由排水斜槽+连接井+排洪隧洞组成，另一套为设置于右坝肩的溢洪道。</w:t>
      </w:r>
    </w:p>
    <w:p w14:paraId="41EA0495">
      <w:pPr>
        <w:bidi w:val="0"/>
        <w:rPr>
          <w:rFonts w:hint="default" w:ascii="Times New Roman" w:hAnsi="Times New Roman" w:cs="Times New Roman"/>
        </w:rPr>
      </w:pPr>
      <w:r>
        <w:rPr>
          <w:rFonts w:hint="default" w:ascii="Times New Roman" w:hAnsi="Times New Roman" w:cs="Times New Roman"/>
        </w:rPr>
        <w:t>排水斜槽：采用单格斜槽，矩型断面，底宽 1.0m，高 1.2m，C20钢筋混凝土结构，槽身厚度 200mm，斜槽水平长度 49.21m，纵坡 0.085， 斜槽最低进水口底板高程为 228.15m，最低进水口高程为 229.4m，现状进水口高程为 229.5m，最高进水口高程为 233.56m。排水斜槽采用平盖板，C25钢筋混凝土结构，壁厚 200mm。</w:t>
      </w:r>
    </w:p>
    <w:p w14:paraId="288E0E12">
      <w:pPr>
        <w:bidi w:val="0"/>
        <w:rPr>
          <w:rFonts w:hint="default" w:ascii="Times New Roman" w:hAnsi="Times New Roman" w:cs="Times New Roman"/>
        </w:rPr>
      </w:pPr>
      <w:r>
        <w:rPr>
          <w:rFonts w:hint="default" w:ascii="Times New Roman" w:hAnsi="Times New Roman" w:cs="Times New Roman"/>
        </w:rPr>
        <w:t>连接井：连接排水斜槽与排洪隧洞，现浇C20钢筋混凝土结构。连接井与排水斜槽（和排洪涵洞）连接处，设置密封止水，以防尾砂由此泄漏。连接井尺寸均为：内径 2.7m，外径 3.5m，净高 1.7m， 圆柱形，井身厚 400mm。</w:t>
      </w:r>
    </w:p>
    <w:p w14:paraId="4E820992">
      <w:pPr>
        <w:bidi w:val="0"/>
        <w:rPr>
          <w:rFonts w:hint="default" w:ascii="Times New Roman" w:hAnsi="Times New Roman" w:cs="Times New Roman"/>
        </w:rPr>
      </w:pPr>
      <w:r>
        <w:rPr>
          <w:rFonts w:hint="default" w:ascii="Times New Roman" w:hAnsi="Times New Roman" w:cs="Times New Roman"/>
        </w:rPr>
        <w:t>排洪隧洞：为圆拱直墙式断面，底宽 1.38m，高 1.85m，隧洞进出口50m采用C25 钢筋混凝土全断面进行衬砌，衬砌厚度 340mm；隧洞中间段采用衬砌底板及两侧边墙的方式，衬砌厚度340mm。</w:t>
      </w:r>
    </w:p>
    <w:p w14:paraId="4B950711">
      <w:pPr>
        <w:bidi w:val="0"/>
        <w:rPr>
          <w:rFonts w:hint="default" w:ascii="Times New Roman" w:hAnsi="Times New Roman" w:cs="Times New Roman"/>
        </w:rPr>
      </w:pPr>
      <w:r>
        <w:rPr>
          <w:rFonts w:hint="default" w:ascii="Times New Roman" w:hAnsi="Times New Roman" w:cs="Times New Roman"/>
        </w:rPr>
        <w:t>坝肩溢洪道：设置于尾矿坝右坝肩，由引水渠、进口段、</w:t>
      </w:r>
      <w:r>
        <w:rPr>
          <w:rFonts w:hint="eastAsia" w:ascii="Times New Roman" w:hAnsi="Times New Roman" w:cs="Times New Roman"/>
          <w:lang w:val="en-US" w:eastAsia="zh-CN"/>
        </w:rPr>
        <w:t>渐变</w:t>
      </w:r>
      <w:r>
        <w:rPr>
          <w:rFonts w:hint="default" w:ascii="Times New Roman" w:hAnsi="Times New Roman" w:cs="Times New Roman"/>
        </w:rPr>
        <w:t>段及陡槽组成，采用 M10 浆砌块石结构，进口段采用宽顶堰，进水口底板高程为 231.0m，长4.0m，净断面尺寸B ×H＝6.0m ×2.0m，底板厚度为 350mm；</w:t>
      </w:r>
      <w:r>
        <w:rPr>
          <w:rFonts w:hint="eastAsia" w:ascii="Times New Roman" w:hAnsi="Times New Roman" w:cs="Times New Roman"/>
          <w:lang w:val="en-US" w:eastAsia="zh-CN"/>
        </w:rPr>
        <w:t>渐变</w:t>
      </w:r>
      <w:r>
        <w:rPr>
          <w:rFonts w:hint="default" w:ascii="Times New Roman" w:hAnsi="Times New Roman" w:cs="Times New Roman"/>
        </w:rPr>
        <w:t>段长 6.0 m，水力纵坡 0.09，矩形断面；陡槽段水平长 139.3m，净断面尺寸B ×H＝3.0m × 1.0m。</w:t>
      </w:r>
    </w:p>
    <w:p w14:paraId="30995E69">
      <w:pPr>
        <w:bidi w:val="0"/>
        <w:rPr>
          <w:rFonts w:hint="default" w:ascii="Times New Roman" w:hAnsi="Times New Roman" w:cs="Times New Roman"/>
        </w:rPr>
      </w:pPr>
      <w:r>
        <w:rPr>
          <w:rFonts w:hint="eastAsia" w:ascii="Times New Roman" w:hAnsi="Times New Roman" w:cs="Times New Roman"/>
          <w:lang w:val="en-US" w:eastAsia="zh-CN"/>
        </w:rPr>
        <w:t>7.</w:t>
      </w:r>
      <w:r>
        <w:rPr>
          <w:rFonts w:hint="default" w:ascii="Times New Roman" w:hAnsi="Times New Roman" w:cs="Times New Roman"/>
        </w:rPr>
        <w:t>排水斜槽泄流能力计算</w:t>
      </w:r>
    </w:p>
    <w:p w14:paraId="0D86EE41">
      <w:pPr>
        <w:bidi w:val="0"/>
        <w:rPr>
          <w:rFonts w:hint="default" w:ascii="Times New Roman" w:hAnsi="Times New Roman" w:cs="Times New Roman"/>
        </w:rPr>
      </w:pPr>
      <w:r>
        <w:rPr>
          <w:rFonts w:hint="default" w:ascii="Times New Roman" w:hAnsi="Times New Roman" w:cs="Times New Roman"/>
        </w:rPr>
        <w:t>排水斜槽泄流能力计算公式如下：</w:t>
      </w:r>
    </w:p>
    <w:p w14:paraId="08098D81">
      <w:pPr>
        <w:bidi w:val="0"/>
        <w:rPr>
          <w:rFonts w:hint="default" w:ascii="Times New Roman" w:hAnsi="Times New Roman" w:cs="Times New Roman"/>
          <w:color w:val="auto"/>
        </w:rPr>
      </w:pPr>
      <w:r>
        <w:rPr>
          <w:rFonts w:hint="default" w:ascii="Times New Roman" w:hAnsi="Times New Roman" w:cs="Times New Roman"/>
          <w:color w:val="auto"/>
        </w:rPr>
        <w:t>1）自由泄流</w:t>
      </w:r>
    </w:p>
    <w:p w14:paraId="0D022476">
      <w:pPr>
        <w:bidi w:val="0"/>
        <w:rPr>
          <w:rFonts w:hint="default" w:ascii="Times New Roman" w:hAnsi="Times New Roman" w:cs="Times New Roman"/>
          <w:color w:val="auto"/>
        </w:rPr>
      </w:pPr>
      <w:r>
        <w:rPr>
          <w:rFonts w:hint="default" w:ascii="Times New Roman" w:hAnsi="Times New Roman" w:cs="Times New Roman"/>
          <w:color w:val="auto"/>
        </w:rPr>
        <w:t>①水位未超过盖板上沿最高点时</w:t>
      </w:r>
    </w:p>
    <w:p w14:paraId="3ACF7C63">
      <w:pPr>
        <w:pStyle w:val="24"/>
        <w:jc w:val="center"/>
        <w:textAlignment w:val="center"/>
        <w:rPr>
          <w:rFonts w:hint="default" w:ascii="Times New Roman" w:hAnsi="Times New Roman" w:cs="Times New Roman"/>
          <w:color w:val="auto"/>
        </w:rPr>
      </w:pPr>
      <w:r>
        <w:rPr>
          <w:rFonts w:hint="default" w:ascii="Times New Roman" w:hAnsi="Times New Roman" w:cs="Times New Roman"/>
          <w:color w:val="auto"/>
        </w:rPr>
        <w:drawing>
          <wp:inline distT="0" distB="0" distL="0" distR="0">
            <wp:extent cx="2573020" cy="233680"/>
            <wp:effectExtent l="0" t="0" r="2540" b="1016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noChangeArrowheads="1"/>
                    </pic:cNvPicPr>
                  </pic:nvPicPr>
                  <pic:blipFill>
                    <a:blip r:embed="rId21" cstate="print"/>
                    <a:srcRect/>
                    <a:stretch>
                      <a:fillRect/>
                    </a:stretch>
                  </pic:blipFill>
                  <pic:spPr>
                    <a:xfrm>
                      <a:off x="0" y="0"/>
                      <a:ext cx="2573020" cy="233680"/>
                    </a:xfrm>
                    <a:prstGeom prst="rect">
                      <a:avLst/>
                    </a:prstGeom>
                    <a:noFill/>
                    <a:ln w="9525">
                      <a:noFill/>
                      <a:miter lim="800000"/>
                      <a:headEnd/>
                      <a:tailEnd/>
                    </a:ln>
                  </pic:spPr>
                </pic:pic>
              </a:graphicData>
            </a:graphic>
          </wp:inline>
        </w:drawing>
      </w:r>
      <w:r>
        <w:rPr>
          <w:rFonts w:hint="default" w:ascii="Times New Roman" w:hAnsi="Times New Roman" w:cs="Times New Roman"/>
          <w:color w:val="auto"/>
        </w:rPr>
        <w:t xml:space="preserve">   （a）</w:t>
      </w:r>
    </w:p>
    <w:p w14:paraId="4DE2C517">
      <w:pPr>
        <w:bidi w:val="0"/>
        <w:rPr>
          <w:rFonts w:hint="default" w:ascii="Times New Roman" w:hAnsi="Times New Roman" w:cs="Times New Roman"/>
          <w:color w:val="auto"/>
        </w:rPr>
      </w:pPr>
      <w:r>
        <w:rPr>
          <w:rFonts w:hint="default" w:ascii="Times New Roman" w:hAnsi="Times New Roman" w:cs="Times New Roman"/>
          <w:color w:val="auto"/>
        </w:rPr>
        <w:t>②水位超过盖板上沿最高点时</w:t>
      </w:r>
    </w:p>
    <w:p w14:paraId="6D87B5CF">
      <w:pPr>
        <w:pStyle w:val="24"/>
        <w:jc w:val="center"/>
        <w:textAlignment w:val="center"/>
        <w:rPr>
          <w:rFonts w:hint="default" w:ascii="Times New Roman" w:hAnsi="Times New Roman" w:cs="Times New Roman"/>
          <w:color w:val="auto"/>
        </w:rPr>
      </w:pPr>
      <w:r>
        <w:rPr>
          <w:rFonts w:hint="default" w:ascii="Times New Roman" w:hAnsi="Times New Roman" w:cs="Times New Roman"/>
          <w:color w:val="auto"/>
        </w:rPr>
        <w:drawing>
          <wp:inline distT="0" distB="0" distL="0" distR="0">
            <wp:extent cx="861060" cy="212725"/>
            <wp:effectExtent l="0" t="0" r="7620" b="63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noChangeArrowheads="1"/>
                    </pic:cNvPicPr>
                  </pic:nvPicPr>
                  <pic:blipFill>
                    <a:blip r:embed="rId22" cstate="print"/>
                    <a:srcRect/>
                    <a:stretch>
                      <a:fillRect/>
                    </a:stretch>
                  </pic:blipFill>
                  <pic:spPr>
                    <a:xfrm>
                      <a:off x="0" y="0"/>
                      <a:ext cx="861060" cy="212725"/>
                    </a:xfrm>
                    <a:prstGeom prst="rect">
                      <a:avLst/>
                    </a:prstGeom>
                    <a:noFill/>
                    <a:ln w="9525">
                      <a:noFill/>
                      <a:miter lim="800000"/>
                      <a:headEnd/>
                      <a:tailEnd/>
                    </a:ln>
                  </pic:spPr>
                </pic:pic>
              </a:graphicData>
            </a:graphic>
          </wp:inline>
        </w:drawing>
      </w:r>
      <w:r>
        <w:rPr>
          <w:rFonts w:hint="default" w:ascii="Times New Roman" w:hAnsi="Times New Roman" w:cs="Times New Roman"/>
          <w:color w:val="auto"/>
        </w:rPr>
        <w:t xml:space="preserve">   （b）</w:t>
      </w:r>
    </w:p>
    <w:p w14:paraId="769E56FF">
      <w:pPr>
        <w:pStyle w:val="24"/>
        <w:jc w:val="center"/>
        <w:textAlignment w:val="center"/>
        <w:rPr>
          <w:rFonts w:hint="default" w:ascii="Times New Roman" w:hAnsi="Times New Roman" w:cs="Times New Roman"/>
          <w:color w:val="auto"/>
        </w:rPr>
      </w:pPr>
      <w:r>
        <w:rPr>
          <w:rFonts w:hint="default" w:ascii="Times New Roman" w:hAnsi="Times New Roman" w:cs="Times New Roman"/>
          <w:color w:val="auto"/>
        </w:rPr>
        <w:drawing>
          <wp:inline distT="0" distB="0" distL="0" distR="0">
            <wp:extent cx="2190115" cy="255270"/>
            <wp:effectExtent l="0" t="0" r="4445" b="381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noChangeArrowheads="1"/>
                    </pic:cNvPicPr>
                  </pic:nvPicPr>
                  <pic:blipFill>
                    <a:blip r:embed="rId23" cstate="print"/>
                    <a:srcRect/>
                    <a:stretch>
                      <a:fillRect/>
                    </a:stretch>
                  </pic:blipFill>
                  <pic:spPr>
                    <a:xfrm>
                      <a:off x="0" y="0"/>
                      <a:ext cx="2190115" cy="255270"/>
                    </a:xfrm>
                    <a:prstGeom prst="rect">
                      <a:avLst/>
                    </a:prstGeom>
                    <a:noFill/>
                    <a:ln w="9525">
                      <a:noFill/>
                      <a:miter lim="800000"/>
                      <a:headEnd/>
                      <a:tailEnd/>
                    </a:ln>
                  </pic:spPr>
                </pic:pic>
              </a:graphicData>
            </a:graphic>
          </wp:inline>
        </w:drawing>
      </w:r>
      <w:r>
        <w:rPr>
          <w:rFonts w:hint="default" w:ascii="Times New Roman" w:hAnsi="Times New Roman" w:cs="Times New Roman"/>
          <w:color w:val="auto"/>
        </w:rPr>
        <w:t xml:space="preserve">   （c）</w:t>
      </w:r>
    </w:p>
    <w:p w14:paraId="7C040A9F">
      <w:pPr>
        <w:bidi w:val="0"/>
        <w:rPr>
          <w:rFonts w:hint="default" w:ascii="Times New Roman" w:hAnsi="Times New Roman" w:cs="Times New Roman"/>
          <w:color w:val="auto"/>
        </w:rPr>
      </w:pPr>
      <w:r>
        <w:rPr>
          <w:rFonts w:hint="default" w:ascii="Times New Roman" w:hAnsi="Times New Roman" w:cs="Times New Roman"/>
          <w:color w:val="auto"/>
        </w:rPr>
        <w:t>2）半压力流</w:t>
      </w:r>
    </w:p>
    <w:p w14:paraId="203CFE74">
      <w:pPr>
        <w:pStyle w:val="24"/>
        <w:jc w:val="center"/>
        <w:textAlignment w:val="center"/>
        <w:rPr>
          <w:rFonts w:hint="default" w:ascii="Times New Roman" w:hAnsi="Times New Roman" w:cs="Times New Roman"/>
          <w:color w:val="auto"/>
        </w:rPr>
      </w:pPr>
      <w:r>
        <w:rPr>
          <w:rFonts w:hint="default" w:ascii="Times New Roman" w:hAnsi="Times New Roman" w:cs="Times New Roman"/>
          <w:color w:val="auto"/>
        </w:rPr>
        <w:drawing>
          <wp:inline distT="0" distB="0" distL="0" distR="0">
            <wp:extent cx="1190625" cy="266065"/>
            <wp:effectExtent l="0" t="0" r="13335" b="825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noChangeArrowheads="1"/>
                    </pic:cNvPicPr>
                  </pic:nvPicPr>
                  <pic:blipFill>
                    <a:blip r:embed="rId24" cstate="print"/>
                    <a:srcRect/>
                    <a:stretch>
                      <a:fillRect/>
                    </a:stretch>
                  </pic:blipFill>
                  <pic:spPr>
                    <a:xfrm>
                      <a:off x="0" y="0"/>
                      <a:ext cx="1190625" cy="266065"/>
                    </a:xfrm>
                    <a:prstGeom prst="rect">
                      <a:avLst/>
                    </a:prstGeom>
                    <a:noFill/>
                    <a:ln w="9525">
                      <a:noFill/>
                      <a:miter lim="800000"/>
                      <a:headEnd/>
                      <a:tailEnd/>
                    </a:ln>
                  </pic:spPr>
                </pic:pic>
              </a:graphicData>
            </a:graphic>
          </wp:inline>
        </w:drawing>
      </w:r>
      <w:r>
        <w:rPr>
          <w:rFonts w:hint="default" w:ascii="Times New Roman" w:hAnsi="Times New Roman" w:cs="Times New Roman"/>
          <w:color w:val="auto"/>
        </w:rPr>
        <w:t xml:space="preserve">   （d）</w:t>
      </w:r>
    </w:p>
    <w:p w14:paraId="7681F4DA">
      <w:pPr>
        <w:bidi w:val="0"/>
        <w:rPr>
          <w:rFonts w:hint="default" w:ascii="Times New Roman" w:hAnsi="Times New Roman" w:cs="Times New Roman"/>
          <w:color w:val="auto"/>
        </w:rPr>
      </w:pPr>
      <w:r>
        <w:rPr>
          <w:rFonts w:hint="default" w:ascii="Times New Roman" w:hAnsi="Times New Roman" w:cs="Times New Roman"/>
          <w:color w:val="auto"/>
        </w:rPr>
        <w:t>3）压力流</w:t>
      </w:r>
    </w:p>
    <w:p w14:paraId="7893A6D6">
      <w:pPr>
        <w:pStyle w:val="24"/>
        <w:jc w:val="center"/>
        <w:textAlignment w:val="center"/>
        <w:rPr>
          <w:rFonts w:hint="default" w:ascii="Times New Roman" w:hAnsi="Times New Roman" w:cs="Times New Roman"/>
          <w:color w:val="auto"/>
        </w:rPr>
      </w:pPr>
      <w:r>
        <w:rPr>
          <w:rFonts w:hint="default" w:ascii="Times New Roman" w:hAnsi="Times New Roman" w:cs="Times New Roman"/>
          <w:color w:val="auto"/>
        </w:rPr>
        <w:drawing>
          <wp:inline distT="0" distB="0" distL="0" distR="0">
            <wp:extent cx="1127125" cy="276225"/>
            <wp:effectExtent l="0" t="0" r="635" b="1333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noChangeArrowheads="1"/>
                    </pic:cNvPicPr>
                  </pic:nvPicPr>
                  <pic:blipFill>
                    <a:blip r:embed="rId25" cstate="print"/>
                    <a:srcRect/>
                    <a:stretch>
                      <a:fillRect/>
                    </a:stretch>
                  </pic:blipFill>
                  <pic:spPr>
                    <a:xfrm>
                      <a:off x="0" y="0"/>
                      <a:ext cx="1127125" cy="276225"/>
                    </a:xfrm>
                    <a:prstGeom prst="rect">
                      <a:avLst/>
                    </a:prstGeom>
                    <a:noFill/>
                    <a:ln w="9525">
                      <a:noFill/>
                      <a:miter lim="800000"/>
                      <a:headEnd/>
                      <a:tailEnd/>
                    </a:ln>
                  </pic:spPr>
                </pic:pic>
              </a:graphicData>
            </a:graphic>
          </wp:inline>
        </w:drawing>
      </w:r>
      <w:r>
        <w:rPr>
          <w:rFonts w:hint="default" w:ascii="Times New Roman" w:hAnsi="Times New Roman" w:cs="Times New Roman"/>
          <w:color w:val="auto"/>
        </w:rPr>
        <w:t xml:space="preserve">   （e）</w:t>
      </w:r>
    </w:p>
    <w:p w14:paraId="20AE00B6">
      <w:pPr>
        <w:pStyle w:val="24"/>
        <w:spacing w:line="240" w:lineRule="auto"/>
        <w:jc w:val="center"/>
        <w:textAlignment w:val="center"/>
        <w:rPr>
          <w:rFonts w:hint="default" w:ascii="Times New Roman" w:hAnsi="Times New Roman" w:cs="Times New Roman"/>
          <w:color w:val="auto"/>
        </w:rPr>
      </w:pPr>
      <w:r>
        <w:rPr>
          <w:rFonts w:hint="default" w:ascii="Times New Roman" w:hAnsi="Times New Roman" w:cs="Times New Roman"/>
          <w:color w:val="auto"/>
        </w:rPr>
        <w:drawing>
          <wp:inline distT="0" distB="0" distL="0" distR="0">
            <wp:extent cx="3774440" cy="574040"/>
            <wp:effectExtent l="0" t="0" r="5080" b="508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noChangeArrowheads="1"/>
                    </pic:cNvPicPr>
                  </pic:nvPicPr>
                  <pic:blipFill>
                    <a:blip r:embed="rId26" cstate="print"/>
                    <a:srcRect/>
                    <a:stretch>
                      <a:fillRect/>
                    </a:stretch>
                  </pic:blipFill>
                  <pic:spPr>
                    <a:xfrm>
                      <a:off x="0" y="0"/>
                      <a:ext cx="3774440" cy="574040"/>
                    </a:xfrm>
                    <a:prstGeom prst="rect">
                      <a:avLst/>
                    </a:prstGeom>
                    <a:noFill/>
                    <a:ln w="9525">
                      <a:noFill/>
                      <a:miter lim="800000"/>
                      <a:headEnd/>
                      <a:tailEnd/>
                    </a:ln>
                  </pic:spPr>
                </pic:pic>
              </a:graphicData>
            </a:graphic>
          </wp:inline>
        </w:drawing>
      </w:r>
      <w:r>
        <w:rPr>
          <w:rFonts w:hint="default" w:ascii="Times New Roman" w:hAnsi="Times New Roman" w:cs="Times New Roman"/>
          <w:color w:val="auto"/>
        </w:rPr>
        <w:t xml:space="preserve">   （f）</w:t>
      </w:r>
    </w:p>
    <w:p w14:paraId="7B4DDC63">
      <w:pPr>
        <w:pStyle w:val="24"/>
        <w:spacing w:line="240" w:lineRule="auto"/>
        <w:jc w:val="center"/>
        <w:textAlignment w:val="center"/>
        <w:rPr>
          <w:rFonts w:hint="default" w:ascii="Times New Roman" w:hAnsi="Times New Roman" w:cs="Times New Roman"/>
          <w:color w:val="auto"/>
        </w:rPr>
      </w:pPr>
    </w:p>
    <w:p w14:paraId="70787908">
      <w:pPr>
        <w:bidi w:val="0"/>
        <w:rPr>
          <w:rFonts w:hint="default" w:ascii="Times New Roman" w:hAnsi="Times New Roman" w:cs="Times New Roman"/>
        </w:rPr>
      </w:pPr>
      <w:r>
        <w:rPr>
          <w:rFonts w:hint="default" w:ascii="Times New Roman" w:hAnsi="Times New Roman" w:cs="Times New Roman"/>
        </w:rPr>
        <w:t>根据上述公式计算现状排水斜槽排洪排水系统泄流能力，计算结果详见表</w:t>
      </w:r>
      <w:r>
        <w:rPr>
          <w:rFonts w:hint="eastAsia" w:ascii="Times New Roman" w:hAnsi="Times New Roman" w:cs="Times New Roman"/>
          <w:lang w:val="en-US" w:eastAsia="zh-CN"/>
        </w:rPr>
        <w:t>5.3.2-4</w:t>
      </w:r>
      <w:r>
        <w:rPr>
          <w:rFonts w:hint="default" w:ascii="Times New Roman" w:hAnsi="Times New Roman" w:cs="Times New Roman"/>
        </w:rPr>
        <w:t>～</w:t>
      </w:r>
      <w:r>
        <w:rPr>
          <w:rFonts w:hint="eastAsia" w:ascii="Times New Roman" w:hAnsi="Times New Roman" w:cs="Times New Roman"/>
          <w:lang w:val="en-US" w:eastAsia="zh-CN"/>
        </w:rPr>
        <w:t>5.3.2-7</w:t>
      </w:r>
      <w:r>
        <w:rPr>
          <w:rFonts w:hint="default" w:ascii="Times New Roman" w:hAnsi="Times New Roman" w:cs="Times New Roman"/>
        </w:rPr>
        <w:t>。</w:t>
      </w:r>
    </w:p>
    <w:p w14:paraId="4EDEFDD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表</w:t>
      </w:r>
      <w:r>
        <w:rPr>
          <w:rFonts w:hint="eastAsia" w:ascii="Times New Roman" w:hAnsi="Times New Roman" w:cs="Times New Roman"/>
          <w:lang w:val="en-US" w:eastAsia="zh-CN"/>
        </w:rPr>
        <w:t>5.3.2-4</w:t>
      </w:r>
      <w:r>
        <w:rPr>
          <w:rFonts w:hint="default" w:ascii="Times New Roman" w:hAnsi="Times New Roman" w:cs="Times New Roman"/>
        </w:rPr>
        <w:t>不同库水位时斜槽的自由泄流量计算表（一）</w:t>
      </w:r>
    </w:p>
    <w:tbl>
      <w:tblPr>
        <w:tblStyle w:val="27"/>
        <w:tblW w:w="84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37"/>
        <w:gridCol w:w="938"/>
        <w:gridCol w:w="935"/>
        <w:gridCol w:w="900"/>
        <w:gridCol w:w="902"/>
        <w:gridCol w:w="899"/>
        <w:gridCol w:w="900"/>
        <w:gridCol w:w="904"/>
      </w:tblGrid>
      <w:tr w14:paraId="4D7127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2037" w:type="dxa"/>
            <w:tcBorders>
              <w:top w:val="single" w:color="000000" w:sz="4" w:space="0"/>
              <w:tl2br w:val="single" w:color="000000" w:sz="2" w:space="0"/>
            </w:tcBorders>
            <w:vAlign w:val="top"/>
          </w:tcPr>
          <w:p w14:paraId="155A152F">
            <w:pPr>
              <w:keepNext w:val="0"/>
              <w:keepLines w:val="0"/>
              <w:pageBreakBefore w:val="0"/>
              <w:kinsoku w:val="0"/>
              <w:wordWrap/>
              <w:overflowPunct/>
              <w:topLinePunct w:val="0"/>
              <w:autoSpaceDE w:val="0"/>
              <w:autoSpaceDN w:val="0"/>
              <w:bidi w:val="0"/>
              <w:adjustRightInd w:val="0"/>
              <w:snapToGrid w:val="0"/>
              <w:spacing w:before="37" w:line="223" w:lineRule="auto"/>
              <w:ind w:left="122" w:right="107" w:firstLine="476" w:firstLineChars="20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
                <w:kern w:val="0"/>
                <w:sz w:val="24"/>
                <w:szCs w:val="24"/>
                <w:lang w:val="en-US" w:eastAsia="en-US" w:bidi="ar-SA"/>
              </w:rPr>
              <w:t>库水位（m）</w:t>
            </w:r>
            <w:r>
              <w:rPr>
                <w:rFonts w:ascii="仿宋" w:hAnsi="仿宋" w:eastAsia="仿宋" w:cs="仿宋"/>
                <w:snapToGrid w:val="0"/>
                <w:color w:val="000000"/>
                <w:kern w:val="0"/>
                <w:sz w:val="24"/>
                <w:szCs w:val="24"/>
                <w:lang w:val="en-US" w:eastAsia="en-US" w:bidi="ar-SA"/>
              </w:rPr>
              <w:t xml:space="preserve"> </w:t>
            </w:r>
          </w:p>
          <w:p w14:paraId="487502FB">
            <w:pPr>
              <w:keepNext w:val="0"/>
              <w:keepLines w:val="0"/>
              <w:pageBreakBefore w:val="0"/>
              <w:kinsoku w:val="0"/>
              <w:wordWrap/>
              <w:overflowPunct/>
              <w:topLinePunct w:val="0"/>
              <w:autoSpaceDE w:val="0"/>
              <w:autoSpaceDN w:val="0"/>
              <w:bidi w:val="0"/>
              <w:adjustRightInd w:val="0"/>
              <w:snapToGrid w:val="0"/>
              <w:spacing w:before="37" w:line="223" w:lineRule="auto"/>
              <w:ind w:left="122" w:right="10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计算项目</w:t>
            </w:r>
          </w:p>
        </w:tc>
        <w:tc>
          <w:tcPr>
            <w:tcW w:w="938" w:type="dxa"/>
            <w:tcBorders>
              <w:top w:val="single" w:color="000000" w:sz="4" w:space="0"/>
            </w:tcBorders>
            <w:vAlign w:val="top"/>
          </w:tcPr>
          <w:p w14:paraId="7C76518A">
            <w:pPr>
              <w:keepNext w:val="0"/>
              <w:keepLines w:val="0"/>
              <w:pageBreakBefore w:val="0"/>
              <w:kinsoku w:val="0"/>
              <w:wordWrap/>
              <w:overflowPunct/>
              <w:topLinePunct w:val="0"/>
              <w:autoSpaceDE w:val="0"/>
              <w:autoSpaceDN w:val="0"/>
              <w:bidi w:val="0"/>
              <w:adjustRightInd w:val="0"/>
              <w:snapToGrid w:val="0"/>
              <w:spacing w:before="227" w:line="181" w:lineRule="auto"/>
              <w:ind w:left="1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229.50</w:t>
            </w:r>
          </w:p>
        </w:tc>
        <w:tc>
          <w:tcPr>
            <w:tcW w:w="935" w:type="dxa"/>
            <w:tcBorders>
              <w:top w:val="single" w:color="000000" w:sz="4" w:space="0"/>
            </w:tcBorders>
            <w:vAlign w:val="top"/>
          </w:tcPr>
          <w:p w14:paraId="41668489">
            <w:pPr>
              <w:keepNext w:val="0"/>
              <w:keepLines w:val="0"/>
              <w:pageBreakBefore w:val="0"/>
              <w:kinsoku w:val="0"/>
              <w:wordWrap/>
              <w:overflowPunct/>
              <w:topLinePunct w:val="0"/>
              <w:autoSpaceDE w:val="0"/>
              <w:autoSpaceDN w:val="0"/>
              <w:bidi w:val="0"/>
              <w:adjustRightInd w:val="0"/>
              <w:snapToGrid w:val="0"/>
              <w:spacing w:before="227" w:line="181" w:lineRule="auto"/>
              <w:ind w:left="12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229.65</w:t>
            </w:r>
          </w:p>
        </w:tc>
        <w:tc>
          <w:tcPr>
            <w:tcW w:w="900" w:type="dxa"/>
            <w:tcBorders>
              <w:top w:val="single" w:color="000000" w:sz="4" w:space="0"/>
            </w:tcBorders>
            <w:vAlign w:val="top"/>
          </w:tcPr>
          <w:p w14:paraId="1AC35FC9">
            <w:pPr>
              <w:keepNext w:val="0"/>
              <w:keepLines w:val="0"/>
              <w:pageBreakBefore w:val="0"/>
              <w:kinsoku w:val="0"/>
              <w:wordWrap/>
              <w:overflowPunct/>
              <w:topLinePunct w:val="0"/>
              <w:autoSpaceDE w:val="0"/>
              <w:autoSpaceDN w:val="0"/>
              <w:bidi w:val="0"/>
              <w:adjustRightInd w:val="0"/>
              <w:snapToGrid w:val="0"/>
              <w:spacing w:before="227" w:line="181" w:lineRule="auto"/>
              <w:ind w:left="1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229.8</w:t>
            </w:r>
          </w:p>
        </w:tc>
        <w:tc>
          <w:tcPr>
            <w:tcW w:w="902" w:type="dxa"/>
            <w:tcBorders>
              <w:top w:val="single" w:color="000000" w:sz="4" w:space="0"/>
            </w:tcBorders>
            <w:vAlign w:val="top"/>
          </w:tcPr>
          <w:p w14:paraId="36751D55">
            <w:pPr>
              <w:keepNext w:val="0"/>
              <w:keepLines w:val="0"/>
              <w:pageBreakBefore w:val="0"/>
              <w:kinsoku w:val="0"/>
              <w:wordWrap/>
              <w:overflowPunct/>
              <w:topLinePunct w:val="0"/>
              <w:autoSpaceDE w:val="0"/>
              <w:autoSpaceDN w:val="0"/>
              <w:bidi w:val="0"/>
              <w:adjustRightInd w:val="0"/>
              <w:snapToGrid w:val="0"/>
              <w:spacing w:before="227" w:line="181" w:lineRule="auto"/>
              <w:ind w:left="1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230.0</w:t>
            </w:r>
          </w:p>
        </w:tc>
        <w:tc>
          <w:tcPr>
            <w:tcW w:w="899" w:type="dxa"/>
            <w:tcBorders>
              <w:top w:val="single" w:color="000000" w:sz="4" w:space="0"/>
            </w:tcBorders>
            <w:vAlign w:val="top"/>
          </w:tcPr>
          <w:p w14:paraId="26399438">
            <w:pPr>
              <w:keepNext w:val="0"/>
              <w:keepLines w:val="0"/>
              <w:pageBreakBefore w:val="0"/>
              <w:kinsoku w:val="0"/>
              <w:wordWrap/>
              <w:overflowPunct/>
              <w:topLinePunct w:val="0"/>
              <w:autoSpaceDE w:val="0"/>
              <w:autoSpaceDN w:val="0"/>
              <w:bidi w:val="0"/>
              <w:adjustRightInd w:val="0"/>
              <w:snapToGrid w:val="0"/>
              <w:spacing w:before="227" w:line="181" w:lineRule="auto"/>
              <w:ind w:left="1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230.2</w:t>
            </w:r>
          </w:p>
        </w:tc>
        <w:tc>
          <w:tcPr>
            <w:tcW w:w="900" w:type="dxa"/>
            <w:tcBorders>
              <w:top w:val="single" w:color="000000" w:sz="4" w:space="0"/>
            </w:tcBorders>
            <w:vAlign w:val="top"/>
          </w:tcPr>
          <w:p w14:paraId="2A8B570E">
            <w:pPr>
              <w:keepNext w:val="0"/>
              <w:keepLines w:val="0"/>
              <w:pageBreakBefore w:val="0"/>
              <w:kinsoku w:val="0"/>
              <w:wordWrap/>
              <w:overflowPunct/>
              <w:topLinePunct w:val="0"/>
              <w:autoSpaceDE w:val="0"/>
              <w:autoSpaceDN w:val="0"/>
              <w:bidi w:val="0"/>
              <w:adjustRightInd w:val="0"/>
              <w:snapToGrid w:val="0"/>
              <w:spacing w:before="227" w:line="181" w:lineRule="auto"/>
              <w:ind w:left="16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230.4</w:t>
            </w:r>
          </w:p>
        </w:tc>
        <w:tc>
          <w:tcPr>
            <w:tcW w:w="904" w:type="dxa"/>
            <w:tcBorders>
              <w:top w:val="single" w:color="000000" w:sz="4" w:space="0"/>
            </w:tcBorders>
            <w:vAlign w:val="top"/>
          </w:tcPr>
          <w:p w14:paraId="6820C3FB">
            <w:pPr>
              <w:keepNext w:val="0"/>
              <w:keepLines w:val="0"/>
              <w:pageBreakBefore w:val="0"/>
              <w:kinsoku w:val="0"/>
              <w:wordWrap/>
              <w:overflowPunct/>
              <w:topLinePunct w:val="0"/>
              <w:autoSpaceDE w:val="0"/>
              <w:autoSpaceDN w:val="0"/>
              <w:bidi w:val="0"/>
              <w:adjustRightInd w:val="0"/>
              <w:snapToGrid w:val="0"/>
              <w:spacing w:before="227" w:line="181" w:lineRule="auto"/>
              <w:ind w:left="1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230.6</w:t>
            </w:r>
          </w:p>
        </w:tc>
      </w:tr>
      <w:tr w14:paraId="4BAAF4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3" w:hRule="atLeast"/>
        </w:trPr>
        <w:tc>
          <w:tcPr>
            <w:tcW w:w="2037" w:type="dxa"/>
            <w:vAlign w:val="top"/>
          </w:tcPr>
          <w:p w14:paraId="5D42109F">
            <w:pPr>
              <w:keepNext w:val="0"/>
              <w:keepLines w:val="0"/>
              <w:pageBreakBefore w:val="0"/>
              <w:kinsoku w:val="0"/>
              <w:wordWrap/>
              <w:overflowPunct/>
              <w:topLinePunct w:val="0"/>
              <w:autoSpaceDE w:val="0"/>
              <w:autoSpaceDN w:val="0"/>
              <w:bidi w:val="0"/>
              <w:adjustRightInd w:val="0"/>
              <w:snapToGrid w:val="0"/>
              <w:spacing w:before="95" w:line="217" w:lineRule="auto"/>
              <w:ind w:left="15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w w:val="95"/>
                <w:kern w:val="0"/>
                <w:sz w:val="24"/>
                <w:szCs w:val="24"/>
                <w:lang w:val="en-US" w:eastAsia="en-US" w:bidi="ar-SA"/>
              </w:rPr>
              <w:t>H</w:t>
            </w:r>
            <w:r>
              <w:rPr>
                <w:rFonts w:ascii="仿宋" w:hAnsi="仿宋" w:eastAsia="仿宋" w:cs="仿宋"/>
                <w:snapToGrid w:val="0"/>
                <w:color w:val="000000"/>
                <w:spacing w:val="-1"/>
                <w:kern w:val="0"/>
                <w:position w:val="-1"/>
                <w:sz w:val="12"/>
                <w:szCs w:val="12"/>
                <w:lang w:val="en-US" w:eastAsia="en-US" w:bidi="ar-SA"/>
              </w:rPr>
              <w:t>s</w:t>
            </w:r>
            <w:r>
              <w:rPr>
                <w:rFonts w:ascii="仿宋" w:hAnsi="仿宋" w:eastAsia="仿宋" w:cs="仿宋"/>
                <w:snapToGrid w:val="0"/>
                <w:color w:val="000000"/>
                <w:spacing w:val="-1"/>
                <w:kern w:val="0"/>
                <w:sz w:val="24"/>
                <w:szCs w:val="24"/>
                <w:lang w:val="en-US" w:eastAsia="en-US" w:bidi="ar-SA"/>
              </w:rPr>
              <w:t>=库水位-229.5</w:t>
            </w:r>
          </w:p>
        </w:tc>
        <w:tc>
          <w:tcPr>
            <w:tcW w:w="938" w:type="dxa"/>
            <w:vAlign w:val="top"/>
          </w:tcPr>
          <w:p w14:paraId="29DEA87D">
            <w:pPr>
              <w:keepNext w:val="0"/>
              <w:keepLines w:val="0"/>
              <w:pageBreakBefore w:val="0"/>
              <w:kinsoku w:val="0"/>
              <w:wordWrap/>
              <w:overflowPunct/>
              <w:topLinePunct w:val="0"/>
              <w:autoSpaceDE w:val="0"/>
              <w:autoSpaceDN w:val="0"/>
              <w:bidi w:val="0"/>
              <w:adjustRightInd w:val="0"/>
              <w:snapToGrid w:val="0"/>
              <w:spacing w:before="130" w:line="181" w:lineRule="auto"/>
              <w:ind w:left="25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0.00</w:t>
            </w:r>
          </w:p>
        </w:tc>
        <w:tc>
          <w:tcPr>
            <w:tcW w:w="935" w:type="dxa"/>
            <w:vAlign w:val="top"/>
          </w:tcPr>
          <w:p w14:paraId="18C540CA">
            <w:pPr>
              <w:keepNext w:val="0"/>
              <w:keepLines w:val="0"/>
              <w:pageBreakBefore w:val="0"/>
              <w:kinsoku w:val="0"/>
              <w:wordWrap/>
              <w:overflowPunct/>
              <w:topLinePunct w:val="0"/>
              <w:autoSpaceDE w:val="0"/>
              <w:autoSpaceDN w:val="0"/>
              <w:bidi w:val="0"/>
              <w:adjustRightInd w:val="0"/>
              <w:snapToGrid w:val="0"/>
              <w:spacing w:before="130" w:line="181" w:lineRule="auto"/>
              <w:ind w:left="24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0.15</w:t>
            </w:r>
          </w:p>
        </w:tc>
        <w:tc>
          <w:tcPr>
            <w:tcW w:w="900" w:type="dxa"/>
            <w:vAlign w:val="top"/>
          </w:tcPr>
          <w:p w14:paraId="12CFA8AA">
            <w:pPr>
              <w:keepNext w:val="0"/>
              <w:keepLines w:val="0"/>
              <w:pageBreakBefore w:val="0"/>
              <w:kinsoku w:val="0"/>
              <w:wordWrap/>
              <w:overflowPunct/>
              <w:topLinePunct w:val="0"/>
              <w:autoSpaceDE w:val="0"/>
              <w:autoSpaceDN w:val="0"/>
              <w:bidi w:val="0"/>
              <w:adjustRightInd w:val="0"/>
              <w:snapToGrid w:val="0"/>
              <w:spacing w:before="130" w:line="181" w:lineRule="auto"/>
              <w:ind w:left="23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0.30</w:t>
            </w:r>
          </w:p>
        </w:tc>
        <w:tc>
          <w:tcPr>
            <w:tcW w:w="902" w:type="dxa"/>
            <w:vAlign w:val="top"/>
          </w:tcPr>
          <w:p w14:paraId="0129D037">
            <w:pPr>
              <w:keepNext w:val="0"/>
              <w:keepLines w:val="0"/>
              <w:pageBreakBefore w:val="0"/>
              <w:kinsoku w:val="0"/>
              <w:wordWrap/>
              <w:overflowPunct/>
              <w:topLinePunct w:val="0"/>
              <w:autoSpaceDE w:val="0"/>
              <w:autoSpaceDN w:val="0"/>
              <w:bidi w:val="0"/>
              <w:adjustRightInd w:val="0"/>
              <w:snapToGrid w:val="0"/>
              <w:spacing w:before="130" w:line="181" w:lineRule="auto"/>
              <w:ind w:left="23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0.50</w:t>
            </w:r>
          </w:p>
        </w:tc>
        <w:tc>
          <w:tcPr>
            <w:tcW w:w="899" w:type="dxa"/>
            <w:vAlign w:val="top"/>
          </w:tcPr>
          <w:p w14:paraId="49623545">
            <w:pPr>
              <w:keepNext w:val="0"/>
              <w:keepLines w:val="0"/>
              <w:pageBreakBefore w:val="0"/>
              <w:kinsoku w:val="0"/>
              <w:wordWrap/>
              <w:overflowPunct/>
              <w:topLinePunct w:val="0"/>
              <w:autoSpaceDE w:val="0"/>
              <w:autoSpaceDN w:val="0"/>
              <w:bidi w:val="0"/>
              <w:adjustRightInd w:val="0"/>
              <w:snapToGrid w:val="0"/>
              <w:spacing w:before="130" w:line="181" w:lineRule="auto"/>
              <w:ind w:left="23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0.70</w:t>
            </w:r>
          </w:p>
        </w:tc>
        <w:tc>
          <w:tcPr>
            <w:tcW w:w="900" w:type="dxa"/>
            <w:vAlign w:val="top"/>
          </w:tcPr>
          <w:p w14:paraId="584AA9B9">
            <w:pPr>
              <w:keepNext w:val="0"/>
              <w:keepLines w:val="0"/>
              <w:pageBreakBefore w:val="0"/>
              <w:kinsoku w:val="0"/>
              <w:wordWrap/>
              <w:overflowPunct/>
              <w:topLinePunct w:val="0"/>
              <w:autoSpaceDE w:val="0"/>
              <w:autoSpaceDN w:val="0"/>
              <w:bidi w:val="0"/>
              <w:adjustRightInd w:val="0"/>
              <w:snapToGrid w:val="0"/>
              <w:spacing w:before="130" w:line="181" w:lineRule="auto"/>
              <w:ind w:left="23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1.90</w:t>
            </w:r>
          </w:p>
        </w:tc>
        <w:tc>
          <w:tcPr>
            <w:tcW w:w="904" w:type="dxa"/>
            <w:vAlign w:val="top"/>
          </w:tcPr>
          <w:p w14:paraId="63300E9C">
            <w:pPr>
              <w:keepNext w:val="0"/>
              <w:keepLines w:val="0"/>
              <w:pageBreakBefore w:val="0"/>
              <w:kinsoku w:val="0"/>
              <w:wordWrap/>
              <w:overflowPunct/>
              <w:topLinePunct w:val="0"/>
              <w:autoSpaceDE w:val="0"/>
              <w:autoSpaceDN w:val="0"/>
              <w:bidi w:val="0"/>
              <w:adjustRightInd w:val="0"/>
              <w:snapToGrid w:val="0"/>
              <w:spacing w:before="130" w:line="181" w:lineRule="auto"/>
              <w:ind w:left="23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1.10</w:t>
            </w:r>
          </w:p>
        </w:tc>
      </w:tr>
      <w:tr w14:paraId="3FB15C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3" w:hRule="atLeast"/>
        </w:trPr>
        <w:tc>
          <w:tcPr>
            <w:tcW w:w="2037" w:type="dxa"/>
            <w:vAlign w:val="top"/>
          </w:tcPr>
          <w:p w14:paraId="7A4A62A6">
            <w:pPr>
              <w:keepNext w:val="0"/>
              <w:keepLines w:val="0"/>
              <w:pageBreakBefore w:val="0"/>
              <w:kinsoku w:val="0"/>
              <w:wordWrap/>
              <w:overflowPunct/>
              <w:topLinePunct w:val="0"/>
              <w:autoSpaceDE w:val="0"/>
              <w:autoSpaceDN w:val="0"/>
              <w:bidi w:val="0"/>
              <w:adjustRightInd w:val="0"/>
              <w:snapToGrid w:val="0"/>
              <w:spacing w:before="100" w:line="208" w:lineRule="auto"/>
              <w:ind w:left="847" w:firstLine="0" w:firstLineChars="0"/>
              <w:jc w:val="left"/>
              <w:textAlignment w:val="baseline"/>
              <w:rPr>
                <w:rFonts w:ascii="仿宋" w:hAnsi="仿宋" w:eastAsia="仿宋" w:cs="仿宋"/>
                <w:snapToGrid w:val="0"/>
                <w:color w:val="000000"/>
                <w:kern w:val="0"/>
                <w:sz w:val="12"/>
                <w:szCs w:val="12"/>
                <w:lang w:val="en-US" w:eastAsia="en-US" w:bidi="ar-SA"/>
              </w:rPr>
            </w:pPr>
            <w:r>
              <w:rPr>
                <w:rFonts w:ascii="仿宋" w:hAnsi="仿宋" w:eastAsia="仿宋" w:cs="仿宋"/>
                <w:snapToGrid w:val="0"/>
                <w:color w:val="000000"/>
                <w:spacing w:val="-7"/>
                <w:w w:val="95"/>
                <w:kern w:val="0"/>
                <w:position w:val="-5"/>
                <w:sz w:val="24"/>
                <w:szCs w:val="24"/>
                <w:lang w:val="en-US" w:eastAsia="en-US" w:bidi="ar-SA"/>
              </w:rPr>
              <w:t>H</w:t>
            </w:r>
            <w:r>
              <w:rPr>
                <w:rFonts w:ascii="仿宋" w:hAnsi="仿宋" w:eastAsia="仿宋" w:cs="仿宋"/>
                <w:snapToGrid w:val="0"/>
                <w:color w:val="000000"/>
                <w:kern w:val="0"/>
                <w:position w:val="-7"/>
                <w:sz w:val="12"/>
                <w:szCs w:val="12"/>
                <w:lang w:val="en-US" w:eastAsia="en-US" w:bidi="ar-SA"/>
              </w:rPr>
              <w:t>s</w:t>
            </w:r>
            <w:r>
              <w:rPr>
                <w:rFonts w:ascii="仿宋" w:hAnsi="仿宋" w:eastAsia="仿宋" w:cs="仿宋"/>
                <w:snapToGrid w:val="0"/>
                <w:color w:val="000000"/>
                <w:kern w:val="0"/>
                <w:position w:val="6"/>
                <w:sz w:val="12"/>
                <w:szCs w:val="12"/>
                <w:lang w:val="en-US" w:eastAsia="en-US" w:bidi="ar-SA"/>
              </w:rPr>
              <w:t>2.5</w:t>
            </w:r>
          </w:p>
        </w:tc>
        <w:tc>
          <w:tcPr>
            <w:tcW w:w="938" w:type="dxa"/>
            <w:vAlign w:val="top"/>
          </w:tcPr>
          <w:p w14:paraId="7D06C459">
            <w:pPr>
              <w:keepNext w:val="0"/>
              <w:keepLines w:val="0"/>
              <w:pageBreakBefore w:val="0"/>
              <w:widowControl/>
              <w:kinsoku w:val="0"/>
              <w:wordWrap/>
              <w:overflowPunct/>
              <w:topLinePunct w:val="0"/>
              <w:autoSpaceDE w:val="0"/>
              <w:autoSpaceDN w:val="0"/>
              <w:bidi w:val="0"/>
              <w:adjustRightInd w:val="0"/>
              <w:snapToGrid w:val="0"/>
              <w:spacing w:before="240" w:line="114" w:lineRule="exact"/>
              <w:ind w:left="342" w:firstLine="0" w:firstLineChars="0"/>
              <w:jc w:val="left"/>
              <w:textAlignment w:val="baseline"/>
              <w:rPr>
                <w:rFonts w:ascii="Times New Roman" w:hAnsi="Times New Roman" w:eastAsia="Times New Roman" w:cs="Times New Roman"/>
                <w:snapToGrid w:val="0"/>
                <w:color w:val="000000"/>
                <w:kern w:val="0"/>
                <w:sz w:val="24"/>
                <w:szCs w:val="24"/>
                <w:lang w:eastAsia="en-US"/>
              </w:rPr>
            </w:pPr>
            <w:r>
              <w:rPr>
                <w:rFonts w:ascii="Times New Roman" w:hAnsi="Times New Roman" w:eastAsia="Times New Roman" w:cs="Times New Roman"/>
                <w:snapToGrid w:val="0"/>
                <w:color w:val="000000"/>
                <w:spacing w:val="4"/>
                <w:kern w:val="0"/>
                <w:position w:val="-2"/>
                <w:sz w:val="24"/>
                <w:szCs w:val="24"/>
                <w:lang w:eastAsia="en-US"/>
              </w:rPr>
              <w:t>—</w:t>
            </w:r>
          </w:p>
        </w:tc>
        <w:tc>
          <w:tcPr>
            <w:tcW w:w="935" w:type="dxa"/>
            <w:vAlign w:val="top"/>
          </w:tcPr>
          <w:p w14:paraId="71EEAAAF">
            <w:pPr>
              <w:keepNext w:val="0"/>
              <w:keepLines w:val="0"/>
              <w:pageBreakBefore w:val="0"/>
              <w:kinsoku w:val="0"/>
              <w:wordWrap/>
              <w:overflowPunct/>
              <w:topLinePunct w:val="0"/>
              <w:autoSpaceDE w:val="0"/>
              <w:autoSpaceDN w:val="0"/>
              <w:bidi w:val="0"/>
              <w:adjustRightInd w:val="0"/>
              <w:snapToGrid w:val="0"/>
              <w:spacing w:before="134" w:line="181" w:lineRule="auto"/>
              <w:ind w:left="24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0.05</w:t>
            </w:r>
          </w:p>
        </w:tc>
        <w:tc>
          <w:tcPr>
            <w:tcW w:w="900" w:type="dxa"/>
            <w:vAlign w:val="top"/>
          </w:tcPr>
          <w:p w14:paraId="32E62289">
            <w:pPr>
              <w:keepNext w:val="0"/>
              <w:keepLines w:val="0"/>
              <w:pageBreakBefore w:val="0"/>
              <w:kinsoku w:val="0"/>
              <w:wordWrap/>
              <w:overflowPunct/>
              <w:topLinePunct w:val="0"/>
              <w:autoSpaceDE w:val="0"/>
              <w:autoSpaceDN w:val="0"/>
              <w:bidi w:val="0"/>
              <w:adjustRightInd w:val="0"/>
              <w:snapToGrid w:val="0"/>
              <w:spacing w:before="134" w:line="181" w:lineRule="auto"/>
              <w:ind w:left="23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0.18</w:t>
            </w:r>
          </w:p>
        </w:tc>
        <w:tc>
          <w:tcPr>
            <w:tcW w:w="902" w:type="dxa"/>
            <w:vAlign w:val="top"/>
          </w:tcPr>
          <w:p w14:paraId="11CF98E5">
            <w:pPr>
              <w:keepNext w:val="0"/>
              <w:keepLines w:val="0"/>
              <w:pageBreakBefore w:val="0"/>
              <w:kinsoku w:val="0"/>
              <w:wordWrap/>
              <w:overflowPunct/>
              <w:topLinePunct w:val="0"/>
              <w:autoSpaceDE w:val="0"/>
              <w:autoSpaceDN w:val="0"/>
              <w:bidi w:val="0"/>
              <w:adjustRightInd w:val="0"/>
              <w:snapToGrid w:val="0"/>
              <w:spacing w:before="134" w:line="181" w:lineRule="auto"/>
              <w:ind w:left="23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0.41</w:t>
            </w:r>
          </w:p>
        </w:tc>
        <w:tc>
          <w:tcPr>
            <w:tcW w:w="899" w:type="dxa"/>
            <w:vAlign w:val="top"/>
          </w:tcPr>
          <w:p w14:paraId="7DA3448C">
            <w:pPr>
              <w:keepNext w:val="0"/>
              <w:keepLines w:val="0"/>
              <w:pageBreakBefore w:val="0"/>
              <w:kinsoku w:val="0"/>
              <w:wordWrap/>
              <w:overflowPunct/>
              <w:topLinePunct w:val="0"/>
              <w:autoSpaceDE w:val="0"/>
              <w:autoSpaceDN w:val="0"/>
              <w:bidi w:val="0"/>
              <w:adjustRightInd w:val="0"/>
              <w:snapToGrid w:val="0"/>
              <w:spacing w:before="134" w:line="181" w:lineRule="auto"/>
              <w:ind w:left="23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0.77</w:t>
            </w:r>
          </w:p>
        </w:tc>
        <w:tc>
          <w:tcPr>
            <w:tcW w:w="900" w:type="dxa"/>
            <w:vAlign w:val="top"/>
          </w:tcPr>
          <w:p w14:paraId="2AFD7AB1">
            <w:pPr>
              <w:keepNext w:val="0"/>
              <w:keepLines w:val="0"/>
              <w:pageBreakBefore w:val="0"/>
              <w:kinsoku w:val="0"/>
              <w:wordWrap/>
              <w:overflowPunct/>
              <w:topLinePunct w:val="0"/>
              <w:autoSpaceDE w:val="0"/>
              <w:autoSpaceDN w:val="0"/>
              <w:bidi w:val="0"/>
              <w:adjustRightInd w:val="0"/>
              <w:snapToGrid w:val="0"/>
              <w:spacing w:before="134" w:line="181" w:lineRule="auto"/>
              <w:ind w:left="23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1.27</w:t>
            </w:r>
          </w:p>
        </w:tc>
        <w:tc>
          <w:tcPr>
            <w:tcW w:w="904" w:type="dxa"/>
            <w:vAlign w:val="top"/>
          </w:tcPr>
          <w:p w14:paraId="4087D0AF">
            <w:pPr>
              <w:keepNext w:val="0"/>
              <w:keepLines w:val="0"/>
              <w:pageBreakBefore w:val="0"/>
              <w:kinsoku w:val="0"/>
              <w:wordWrap/>
              <w:overflowPunct/>
              <w:topLinePunct w:val="0"/>
              <w:autoSpaceDE w:val="0"/>
              <w:autoSpaceDN w:val="0"/>
              <w:bidi w:val="0"/>
              <w:adjustRightInd w:val="0"/>
              <w:snapToGrid w:val="0"/>
              <w:spacing w:before="134" w:line="181" w:lineRule="auto"/>
              <w:ind w:left="23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0.05</w:t>
            </w:r>
          </w:p>
        </w:tc>
      </w:tr>
      <w:tr w14:paraId="304BF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2037" w:type="dxa"/>
            <w:vAlign w:val="top"/>
          </w:tcPr>
          <w:p w14:paraId="220C5462">
            <w:pPr>
              <w:keepNext w:val="0"/>
              <w:keepLines w:val="0"/>
              <w:pageBreakBefore w:val="0"/>
              <w:kinsoku w:val="0"/>
              <w:wordWrap/>
              <w:overflowPunct/>
              <w:topLinePunct w:val="0"/>
              <w:autoSpaceDE w:val="0"/>
              <w:autoSpaceDN w:val="0"/>
              <w:bidi w:val="0"/>
              <w:adjustRightInd w:val="0"/>
              <w:snapToGrid w:val="0"/>
              <w:spacing w:before="99" w:line="222" w:lineRule="auto"/>
              <w:ind w:left="786" w:firstLine="0" w:firstLineChars="0"/>
              <w:jc w:val="left"/>
              <w:textAlignment w:val="baseline"/>
              <w:rPr>
                <w:rFonts w:ascii="仿宋" w:hAnsi="仿宋" w:eastAsia="仿宋" w:cs="仿宋"/>
                <w:snapToGrid w:val="0"/>
                <w:color w:val="000000"/>
                <w:kern w:val="0"/>
                <w:sz w:val="12"/>
                <w:szCs w:val="12"/>
                <w:lang w:val="en-US" w:eastAsia="en-US" w:bidi="ar-SA"/>
              </w:rPr>
            </w:pPr>
            <w:r>
              <w:rPr>
                <w:rFonts w:ascii="仿宋" w:hAnsi="仿宋" w:eastAsia="仿宋" w:cs="仿宋"/>
                <w:snapToGrid w:val="0"/>
                <w:color w:val="000000"/>
                <w:spacing w:val="-12"/>
                <w:kern w:val="0"/>
                <w:sz w:val="24"/>
                <w:szCs w:val="24"/>
                <w:lang w:val="en-US" w:eastAsia="en-US" w:bidi="ar-SA"/>
              </w:rPr>
              <w:t>Q</w:t>
            </w:r>
            <w:r>
              <w:rPr>
                <w:rFonts w:ascii="仿宋" w:hAnsi="仿宋" w:eastAsia="仿宋" w:cs="仿宋"/>
                <w:snapToGrid w:val="0"/>
                <w:color w:val="000000"/>
                <w:kern w:val="0"/>
                <w:position w:val="-1"/>
                <w:sz w:val="12"/>
                <w:szCs w:val="12"/>
                <w:lang w:val="en-US" w:eastAsia="en-US" w:bidi="ar-SA"/>
              </w:rPr>
              <w:t>a</w:t>
            </w:r>
            <w:r>
              <w:rPr>
                <w:rFonts w:ascii="仿宋" w:hAnsi="仿宋" w:eastAsia="仿宋" w:cs="仿宋"/>
                <w:snapToGrid w:val="0"/>
                <w:color w:val="000000"/>
                <w:kern w:val="0"/>
                <w:sz w:val="24"/>
                <w:szCs w:val="24"/>
                <w:lang w:val="en-US" w:eastAsia="en-US" w:bidi="ar-SA"/>
              </w:rPr>
              <w:t>=Q</w:t>
            </w:r>
            <w:r>
              <w:rPr>
                <w:rFonts w:ascii="仿宋" w:hAnsi="仿宋" w:eastAsia="仿宋" w:cs="仿宋"/>
                <w:snapToGrid w:val="0"/>
                <w:color w:val="000000"/>
                <w:kern w:val="0"/>
                <w:position w:val="-1"/>
                <w:sz w:val="12"/>
                <w:szCs w:val="12"/>
                <w:lang w:val="en-US" w:eastAsia="en-US" w:bidi="ar-SA"/>
              </w:rPr>
              <w:t>2</w:t>
            </w:r>
          </w:p>
        </w:tc>
        <w:tc>
          <w:tcPr>
            <w:tcW w:w="938" w:type="dxa"/>
            <w:vAlign w:val="top"/>
          </w:tcPr>
          <w:p w14:paraId="71F965A0">
            <w:pPr>
              <w:keepNext w:val="0"/>
              <w:keepLines w:val="0"/>
              <w:pageBreakBefore w:val="0"/>
              <w:kinsoku w:val="0"/>
              <w:wordWrap/>
              <w:overflowPunct/>
              <w:topLinePunct w:val="0"/>
              <w:autoSpaceDE w:val="0"/>
              <w:autoSpaceDN w:val="0"/>
              <w:bidi w:val="0"/>
              <w:adjustRightInd w:val="0"/>
              <w:snapToGrid w:val="0"/>
              <w:spacing w:before="135" w:line="179" w:lineRule="auto"/>
              <w:ind w:left="43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0</w:t>
            </w:r>
          </w:p>
        </w:tc>
        <w:tc>
          <w:tcPr>
            <w:tcW w:w="935" w:type="dxa"/>
            <w:vAlign w:val="top"/>
          </w:tcPr>
          <w:p w14:paraId="064DF6A1">
            <w:pPr>
              <w:keepNext w:val="0"/>
              <w:keepLines w:val="0"/>
              <w:pageBreakBefore w:val="0"/>
              <w:kinsoku w:val="0"/>
              <w:wordWrap/>
              <w:overflowPunct/>
              <w:topLinePunct w:val="0"/>
              <w:autoSpaceDE w:val="0"/>
              <w:autoSpaceDN w:val="0"/>
              <w:bidi w:val="0"/>
              <w:adjustRightInd w:val="0"/>
              <w:snapToGrid w:val="0"/>
              <w:spacing w:before="135" w:line="181" w:lineRule="auto"/>
              <w:ind w:left="24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0.14</w:t>
            </w:r>
          </w:p>
        </w:tc>
        <w:tc>
          <w:tcPr>
            <w:tcW w:w="900" w:type="dxa"/>
            <w:vAlign w:val="top"/>
          </w:tcPr>
          <w:p w14:paraId="755A6F92">
            <w:pPr>
              <w:keepNext w:val="0"/>
              <w:keepLines w:val="0"/>
              <w:pageBreakBefore w:val="0"/>
              <w:kinsoku w:val="0"/>
              <w:wordWrap/>
              <w:overflowPunct/>
              <w:topLinePunct w:val="0"/>
              <w:autoSpaceDE w:val="0"/>
              <w:autoSpaceDN w:val="0"/>
              <w:bidi w:val="0"/>
              <w:adjustRightInd w:val="0"/>
              <w:snapToGrid w:val="0"/>
              <w:spacing w:before="135" w:line="181" w:lineRule="auto"/>
              <w:ind w:left="23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0.91</w:t>
            </w:r>
          </w:p>
        </w:tc>
        <w:tc>
          <w:tcPr>
            <w:tcW w:w="902" w:type="dxa"/>
            <w:vAlign w:val="top"/>
          </w:tcPr>
          <w:p w14:paraId="41914246">
            <w:pPr>
              <w:keepNext w:val="0"/>
              <w:keepLines w:val="0"/>
              <w:pageBreakBefore w:val="0"/>
              <w:kinsoku w:val="0"/>
              <w:wordWrap/>
              <w:overflowPunct/>
              <w:topLinePunct w:val="0"/>
              <w:autoSpaceDE w:val="0"/>
              <w:autoSpaceDN w:val="0"/>
              <w:bidi w:val="0"/>
              <w:adjustRightInd w:val="0"/>
              <w:snapToGrid w:val="0"/>
              <w:spacing w:before="135" w:line="181" w:lineRule="auto"/>
              <w:ind w:left="23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3.06</w:t>
            </w:r>
          </w:p>
        </w:tc>
        <w:tc>
          <w:tcPr>
            <w:tcW w:w="899" w:type="dxa"/>
            <w:vAlign w:val="top"/>
          </w:tcPr>
          <w:p w14:paraId="6B88F2EF">
            <w:pPr>
              <w:keepNext w:val="0"/>
              <w:keepLines w:val="0"/>
              <w:pageBreakBefore w:val="0"/>
              <w:kinsoku w:val="0"/>
              <w:wordWrap/>
              <w:overflowPunct/>
              <w:topLinePunct w:val="0"/>
              <w:autoSpaceDE w:val="0"/>
              <w:autoSpaceDN w:val="0"/>
              <w:bidi w:val="0"/>
              <w:adjustRightInd w:val="0"/>
              <w:snapToGrid w:val="0"/>
              <w:spacing w:before="135" w:line="181" w:lineRule="auto"/>
              <w:ind w:left="22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7.08</w:t>
            </w:r>
          </w:p>
        </w:tc>
        <w:tc>
          <w:tcPr>
            <w:tcW w:w="900" w:type="dxa"/>
            <w:vAlign w:val="top"/>
          </w:tcPr>
          <w:p w14:paraId="26E5B775">
            <w:pPr>
              <w:keepNext w:val="0"/>
              <w:keepLines w:val="0"/>
              <w:pageBreakBefore w:val="0"/>
              <w:kinsoku w:val="0"/>
              <w:wordWrap/>
              <w:overflowPunct/>
              <w:topLinePunct w:val="0"/>
              <w:autoSpaceDE w:val="0"/>
              <w:autoSpaceDN w:val="0"/>
              <w:bidi w:val="0"/>
              <w:adjustRightInd w:val="0"/>
              <w:snapToGrid w:val="0"/>
              <w:spacing w:before="135" w:line="181" w:lineRule="auto"/>
              <w:ind w:left="17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13.24</w:t>
            </w:r>
          </w:p>
        </w:tc>
        <w:tc>
          <w:tcPr>
            <w:tcW w:w="904" w:type="dxa"/>
            <w:vAlign w:val="top"/>
          </w:tcPr>
          <w:p w14:paraId="629256EC">
            <w:pPr>
              <w:keepNext w:val="0"/>
              <w:keepLines w:val="0"/>
              <w:pageBreakBefore w:val="0"/>
              <w:kinsoku w:val="0"/>
              <w:wordWrap/>
              <w:overflowPunct/>
              <w:topLinePunct w:val="0"/>
              <w:autoSpaceDE w:val="0"/>
              <w:autoSpaceDN w:val="0"/>
              <w:bidi w:val="0"/>
              <w:adjustRightInd w:val="0"/>
              <w:snapToGrid w:val="0"/>
              <w:spacing w:before="135" w:line="181" w:lineRule="auto"/>
              <w:ind w:left="1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21.84</w:t>
            </w:r>
          </w:p>
        </w:tc>
      </w:tr>
    </w:tbl>
    <w:p w14:paraId="568B30C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表</w:t>
      </w:r>
      <w:r>
        <w:rPr>
          <w:rFonts w:hint="eastAsia" w:ascii="Times New Roman" w:hAnsi="Times New Roman" w:cs="Times New Roman"/>
          <w:lang w:val="en-US" w:eastAsia="zh-CN"/>
        </w:rPr>
        <w:t>5.3.2-5</w:t>
      </w:r>
      <w:r>
        <w:rPr>
          <w:rFonts w:hint="default" w:ascii="Times New Roman" w:hAnsi="Times New Roman" w:cs="Times New Roman"/>
          <w:lang w:val="en-US" w:eastAsia="zh-CN"/>
        </w:rPr>
        <w:t>不同库水位时斜槽的自由泄流量计算表（二）</w:t>
      </w:r>
    </w:p>
    <w:tbl>
      <w:tblPr>
        <w:tblStyle w:val="27"/>
        <w:tblW w:w="84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86"/>
        <w:gridCol w:w="1022"/>
        <w:gridCol w:w="1019"/>
        <w:gridCol w:w="1022"/>
        <w:gridCol w:w="1019"/>
        <w:gridCol w:w="1020"/>
        <w:gridCol w:w="1027"/>
      </w:tblGrid>
      <w:tr w14:paraId="7566C2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286" w:type="dxa"/>
            <w:tcBorders>
              <w:tl2br w:val="single" w:color="000000" w:sz="2" w:space="0"/>
            </w:tcBorders>
            <w:vAlign w:val="top"/>
          </w:tcPr>
          <w:p w14:paraId="020877DC">
            <w:pPr>
              <w:keepNext w:val="0"/>
              <w:keepLines w:val="0"/>
              <w:pageBreakBefore w:val="0"/>
              <w:kinsoku w:val="0"/>
              <w:wordWrap/>
              <w:overflowPunct/>
              <w:topLinePunct w:val="0"/>
              <w:autoSpaceDE w:val="0"/>
              <w:autoSpaceDN w:val="0"/>
              <w:bidi w:val="0"/>
              <w:adjustRightInd w:val="0"/>
              <w:snapToGrid w:val="0"/>
              <w:spacing w:before="39" w:line="223" w:lineRule="auto"/>
              <w:ind w:right="106" w:firstLine="714" w:firstLineChars="30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
                <w:kern w:val="0"/>
                <w:sz w:val="24"/>
                <w:szCs w:val="24"/>
                <w:lang w:val="en-US" w:eastAsia="en-US" w:bidi="ar-SA"/>
              </w:rPr>
              <w:t>库水位（m）</w:t>
            </w:r>
          </w:p>
          <w:p w14:paraId="1873BCB1">
            <w:pPr>
              <w:keepNext w:val="0"/>
              <w:keepLines w:val="0"/>
              <w:pageBreakBefore w:val="0"/>
              <w:kinsoku w:val="0"/>
              <w:wordWrap/>
              <w:overflowPunct/>
              <w:topLinePunct w:val="0"/>
              <w:autoSpaceDE w:val="0"/>
              <w:autoSpaceDN w:val="0"/>
              <w:bidi w:val="0"/>
              <w:adjustRightInd w:val="0"/>
              <w:snapToGrid w:val="0"/>
              <w:spacing w:before="39" w:line="223" w:lineRule="auto"/>
              <w:ind w:left="122" w:right="10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计算项目</w:t>
            </w:r>
          </w:p>
        </w:tc>
        <w:tc>
          <w:tcPr>
            <w:tcW w:w="1022" w:type="dxa"/>
            <w:vAlign w:val="top"/>
          </w:tcPr>
          <w:p w14:paraId="14DA479F">
            <w:pPr>
              <w:keepNext w:val="0"/>
              <w:keepLines w:val="0"/>
              <w:pageBreakBefore w:val="0"/>
              <w:kinsoku w:val="0"/>
              <w:wordWrap/>
              <w:overflowPunct/>
              <w:topLinePunct w:val="0"/>
              <w:autoSpaceDE w:val="0"/>
              <w:autoSpaceDN w:val="0"/>
              <w:bidi w:val="0"/>
              <w:adjustRightInd w:val="0"/>
              <w:snapToGrid w:val="0"/>
              <w:spacing w:before="229" w:line="181" w:lineRule="auto"/>
              <w:ind w:left="16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229.65</w:t>
            </w:r>
          </w:p>
        </w:tc>
        <w:tc>
          <w:tcPr>
            <w:tcW w:w="1019" w:type="dxa"/>
            <w:vAlign w:val="top"/>
          </w:tcPr>
          <w:p w14:paraId="2149AC94">
            <w:pPr>
              <w:keepNext w:val="0"/>
              <w:keepLines w:val="0"/>
              <w:pageBreakBefore w:val="0"/>
              <w:kinsoku w:val="0"/>
              <w:wordWrap/>
              <w:overflowPunct/>
              <w:topLinePunct w:val="0"/>
              <w:autoSpaceDE w:val="0"/>
              <w:autoSpaceDN w:val="0"/>
              <w:bidi w:val="0"/>
              <w:adjustRightInd w:val="0"/>
              <w:snapToGrid w:val="0"/>
              <w:spacing w:before="229" w:line="181" w:lineRule="auto"/>
              <w:ind w:left="2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229.8</w:t>
            </w:r>
          </w:p>
        </w:tc>
        <w:tc>
          <w:tcPr>
            <w:tcW w:w="1022" w:type="dxa"/>
            <w:vAlign w:val="top"/>
          </w:tcPr>
          <w:p w14:paraId="50FB7217">
            <w:pPr>
              <w:keepNext w:val="0"/>
              <w:keepLines w:val="0"/>
              <w:pageBreakBefore w:val="0"/>
              <w:kinsoku w:val="0"/>
              <w:wordWrap/>
              <w:overflowPunct/>
              <w:topLinePunct w:val="0"/>
              <w:autoSpaceDE w:val="0"/>
              <w:autoSpaceDN w:val="0"/>
              <w:bidi w:val="0"/>
              <w:adjustRightInd w:val="0"/>
              <w:snapToGrid w:val="0"/>
              <w:spacing w:before="229" w:line="181" w:lineRule="auto"/>
              <w:ind w:left="22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230.0</w:t>
            </w:r>
          </w:p>
        </w:tc>
        <w:tc>
          <w:tcPr>
            <w:tcW w:w="1019" w:type="dxa"/>
            <w:vAlign w:val="top"/>
          </w:tcPr>
          <w:p w14:paraId="1AB5D980">
            <w:pPr>
              <w:keepNext w:val="0"/>
              <w:keepLines w:val="0"/>
              <w:pageBreakBefore w:val="0"/>
              <w:kinsoku w:val="0"/>
              <w:wordWrap/>
              <w:overflowPunct/>
              <w:topLinePunct w:val="0"/>
              <w:autoSpaceDE w:val="0"/>
              <w:autoSpaceDN w:val="0"/>
              <w:bidi w:val="0"/>
              <w:adjustRightInd w:val="0"/>
              <w:snapToGrid w:val="0"/>
              <w:spacing w:before="229" w:line="181" w:lineRule="auto"/>
              <w:ind w:left="22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230.2</w:t>
            </w:r>
          </w:p>
        </w:tc>
        <w:tc>
          <w:tcPr>
            <w:tcW w:w="1020" w:type="dxa"/>
            <w:vAlign w:val="top"/>
          </w:tcPr>
          <w:p w14:paraId="51363FCC">
            <w:pPr>
              <w:keepNext w:val="0"/>
              <w:keepLines w:val="0"/>
              <w:pageBreakBefore w:val="0"/>
              <w:kinsoku w:val="0"/>
              <w:wordWrap/>
              <w:overflowPunct/>
              <w:topLinePunct w:val="0"/>
              <w:autoSpaceDE w:val="0"/>
              <w:autoSpaceDN w:val="0"/>
              <w:bidi w:val="0"/>
              <w:adjustRightInd w:val="0"/>
              <w:snapToGrid w:val="0"/>
              <w:spacing w:before="229" w:line="181" w:lineRule="auto"/>
              <w:ind w:left="22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230.4</w:t>
            </w:r>
          </w:p>
        </w:tc>
        <w:tc>
          <w:tcPr>
            <w:tcW w:w="1027" w:type="dxa"/>
            <w:vAlign w:val="top"/>
          </w:tcPr>
          <w:p w14:paraId="529F36F4">
            <w:pPr>
              <w:keepNext w:val="0"/>
              <w:keepLines w:val="0"/>
              <w:pageBreakBefore w:val="0"/>
              <w:kinsoku w:val="0"/>
              <w:wordWrap/>
              <w:overflowPunct/>
              <w:topLinePunct w:val="0"/>
              <w:autoSpaceDE w:val="0"/>
              <w:autoSpaceDN w:val="0"/>
              <w:bidi w:val="0"/>
              <w:adjustRightInd w:val="0"/>
              <w:snapToGrid w:val="0"/>
              <w:spacing w:before="229" w:line="181" w:lineRule="auto"/>
              <w:ind w:left="22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230.6</w:t>
            </w:r>
          </w:p>
        </w:tc>
      </w:tr>
      <w:tr w14:paraId="3B7BC7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286" w:type="dxa"/>
            <w:vAlign w:val="top"/>
          </w:tcPr>
          <w:p w14:paraId="3FB6A825">
            <w:pPr>
              <w:keepNext w:val="0"/>
              <w:keepLines w:val="0"/>
              <w:pageBreakBefore w:val="0"/>
              <w:kinsoku w:val="0"/>
              <w:wordWrap/>
              <w:overflowPunct/>
              <w:topLinePunct w:val="0"/>
              <w:autoSpaceDE w:val="0"/>
              <w:autoSpaceDN w:val="0"/>
              <w:bidi w:val="0"/>
              <w:adjustRightInd w:val="0"/>
              <w:snapToGrid w:val="0"/>
              <w:spacing w:before="64" w:line="219" w:lineRule="auto"/>
              <w:ind w:left="22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w w:val="95"/>
                <w:kern w:val="0"/>
                <w:sz w:val="24"/>
                <w:szCs w:val="24"/>
                <w:lang w:val="en-US" w:eastAsia="en-US" w:bidi="ar-SA"/>
              </w:rPr>
              <w:t>H</w:t>
            </w:r>
            <w:r>
              <w:rPr>
                <w:rFonts w:ascii="仿宋" w:hAnsi="仿宋" w:eastAsia="仿宋" w:cs="仿宋"/>
                <w:snapToGrid w:val="0"/>
                <w:color w:val="000000"/>
                <w:spacing w:val="-1"/>
                <w:kern w:val="0"/>
                <w:position w:val="-1"/>
                <w:sz w:val="12"/>
                <w:szCs w:val="12"/>
                <w:lang w:val="en-US" w:eastAsia="en-US" w:bidi="ar-SA"/>
              </w:rPr>
              <w:t>t</w:t>
            </w:r>
            <w:r>
              <w:rPr>
                <w:rFonts w:ascii="仿宋" w:hAnsi="仿宋" w:eastAsia="仿宋" w:cs="仿宋"/>
                <w:snapToGrid w:val="0"/>
                <w:color w:val="000000"/>
                <w:spacing w:val="-1"/>
                <w:kern w:val="0"/>
                <w:sz w:val="24"/>
                <w:szCs w:val="24"/>
                <w:lang w:val="en-US" w:eastAsia="en-US" w:bidi="ar-SA"/>
              </w:rPr>
              <w:t>=库水位-229.65</w:t>
            </w:r>
          </w:p>
        </w:tc>
        <w:tc>
          <w:tcPr>
            <w:tcW w:w="1022" w:type="dxa"/>
            <w:vAlign w:val="top"/>
          </w:tcPr>
          <w:p w14:paraId="5ED2930D">
            <w:pPr>
              <w:keepNext w:val="0"/>
              <w:keepLines w:val="0"/>
              <w:pageBreakBefore w:val="0"/>
              <w:kinsoku w:val="0"/>
              <w:wordWrap/>
              <w:overflowPunct/>
              <w:topLinePunct w:val="0"/>
              <w:autoSpaceDE w:val="0"/>
              <w:autoSpaceDN w:val="0"/>
              <w:bidi w:val="0"/>
              <w:adjustRightInd w:val="0"/>
              <w:snapToGrid w:val="0"/>
              <w:spacing w:before="99" w:line="181" w:lineRule="auto"/>
              <w:ind w:left="29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0.00</w:t>
            </w:r>
          </w:p>
        </w:tc>
        <w:tc>
          <w:tcPr>
            <w:tcW w:w="1019" w:type="dxa"/>
            <w:vAlign w:val="top"/>
          </w:tcPr>
          <w:p w14:paraId="3D8B5D31">
            <w:pPr>
              <w:keepNext w:val="0"/>
              <w:keepLines w:val="0"/>
              <w:pageBreakBefore w:val="0"/>
              <w:kinsoku w:val="0"/>
              <w:wordWrap/>
              <w:overflowPunct/>
              <w:topLinePunct w:val="0"/>
              <w:autoSpaceDE w:val="0"/>
              <w:autoSpaceDN w:val="0"/>
              <w:bidi w:val="0"/>
              <w:adjustRightInd w:val="0"/>
              <w:snapToGrid w:val="0"/>
              <w:spacing w:before="99" w:line="181" w:lineRule="auto"/>
              <w:ind w:left="28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0.15</w:t>
            </w:r>
          </w:p>
        </w:tc>
        <w:tc>
          <w:tcPr>
            <w:tcW w:w="1022" w:type="dxa"/>
            <w:vAlign w:val="top"/>
          </w:tcPr>
          <w:p w14:paraId="385EFDDF">
            <w:pPr>
              <w:keepNext w:val="0"/>
              <w:keepLines w:val="0"/>
              <w:pageBreakBefore w:val="0"/>
              <w:kinsoku w:val="0"/>
              <w:wordWrap/>
              <w:overflowPunct/>
              <w:topLinePunct w:val="0"/>
              <w:autoSpaceDE w:val="0"/>
              <w:autoSpaceDN w:val="0"/>
              <w:bidi w:val="0"/>
              <w:adjustRightInd w:val="0"/>
              <w:snapToGrid w:val="0"/>
              <w:spacing w:before="99" w:line="181" w:lineRule="auto"/>
              <w:ind w:left="29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0.35</w:t>
            </w:r>
          </w:p>
        </w:tc>
        <w:tc>
          <w:tcPr>
            <w:tcW w:w="1019" w:type="dxa"/>
            <w:vAlign w:val="top"/>
          </w:tcPr>
          <w:p w14:paraId="17740A0D">
            <w:pPr>
              <w:keepNext w:val="0"/>
              <w:keepLines w:val="0"/>
              <w:pageBreakBefore w:val="0"/>
              <w:kinsoku w:val="0"/>
              <w:wordWrap/>
              <w:overflowPunct/>
              <w:topLinePunct w:val="0"/>
              <w:autoSpaceDE w:val="0"/>
              <w:autoSpaceDN w:val="0"/>
              <w:bidi w:val="0"/>
              <w:adjustRightInd w:val="0"/>
              <w:snapToGrid w:val="0"/>
              <w:spacing w:before="99" w:line="181" w:lineRule="auto"/>
              <w:ind w:left="29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0.55</w:t>
            </w:r>
          </w:p>
        </w:tc>
        <w:tc>
          <w:tcPr>
            <w:tcW w:w="1020" w:type="dxa"/>
            <w:vAlign w:val="top"/>
          </w:tcPr>
          <w:p w14:paraId="5DC5399A">
            <w:pPr>
              <w:keepNext w:val="0"/>
              <w:keepLines w:val="0"/>
              <w:pageBreakBefore w:val="0"/>
              <w:kinsoku w:val="0"/>
              <w:wordWrap/>
              <w:overflowPunct/>
              <w:topLinePunct w:val="0"/>
              <w:autoSpaceDE w:val="0"/>
              <w:autoSpaceDN w:val="0"/>
              <w:bidi w:val="0"/>
              <w:adjustRightInd w:val="0"/>
              <w:snapToGrid w:val="0"/>
              <w:spacing w:before="99" w:line="181" w:lineRule="auto"/>
              <w:ind w:left="29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0.75</w:t>
            </w:r>
          </w:p>
        </w:tc>
        <w:tc>
          <w:tcPr>
            <w:tcW w:w="1027" w:type="dxa"/>
            <w:vAlign w:val="top"/>
          </w:tcPr>
          <w:p w14:paraId="4759DCDE">
            <w:pPr>
              <w:keepNext w:val="0"/>
              <w:keepLines w:val="0"/>
              <w:pageBreakBefore w:val="0"/>
              <w:kinsoku w:val="0"/>
              <w:wordWrap/>
              <w:overflowPunct/>
              <w:topLinePunct w:val="0"/>
              <w:autoSpaceDE w:val="0"/>
              <w:autoSpaceDN w:val="0"/>
              <w:bidi w:val="0"/>
              <w:adjustRightInd w:val="0"/>
              <w:snapToGrid w:val="0"/>
              <w:spacing w:before="99" w:line="181" w:lineRule="auto"/>
              <w:ind w:left="29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0.95</w:t>
            </w:r>
          </w:p>
        </w:tc>
      </w:tr>
      <w:tr w14:paraId="631964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2286" w:type="dxa"/>
            <w:vAlign w:val="top"/>
          </w:tcPr>
          <w:p w14:paraId="0EA635CB">
            <w:pPr>
              <w:keepNext w:val="0"/>
              <w:keepLines w:val="0"/>
              <w:pageBreakBefore w:val="0"/>
              <w:kinsoku w:val="0"/>
              <w:wordWrap/>
              <w:overflowPunct/>
              <w:topLinePunct w:val="0"/>
              <w:autoSpaceDE w:val="0"/>
              <w:autoSpaceDN w:val="0"/>
              <w:bidi w:val="0"/>
              <w:adjustRightInd w:val="0"/>
              <w:snapToGrid w:val="0"/>
              <w:spacing w:before="65" w:line="222" w:lineRule="auto"/>
              <w:ind w:left="1062" w:firstLine="0" w:firstLineChars="0"/>
              <w:jc w:val="left"/>
              <w:textAlignment w:val="baseline"/>
              <w:rPr>
                <w:rFonts w:ascii="仿宋" w:hAnsi="仿宋" w:eastAsia="仿宋" w:cs="仿宋"/>
                <w:snapToGrid w:val="0"/>
                <w:color w:val="000000"/>
                <w:kern w:val="0"/>
                <w:sz w:val="12"/>
                <w:szCs w:val="12"/>
                <w:lang w:val="en-US" w:eastAsia="en-US" w:bidi="ar-SA"/>
              </w:rPr>
            </w:pPr>
            <w:r>
              <w:rPr>
                <w:rFonts w:ascii="仿宋" w:hAnsi="仿宋" w:eastAsia="仿宋" w:cs="仿宋"/>
                <w:snapToGrid w:val="0"/>
                <w:color w:val="000000"/>
                <w:spacing w:val="-12"/>
                <w:kern w:val="0"/>
                <w:sz w:val="24"/>
                <w:szCs w:val="24"/>
                <w:lang w:val="en-US" w:eastAsia="en-US" w:bidi="ar-SA"/>
              </w:rPr>
              <w:t>Q</w:t>
            </w:r>
            <w:r>
              <w:rPr>
                <w:rFonts w:ascii="仿宋" w:hAnsi="仿宋" w:eastAsia="仿宋" w:cs="仿宋"/>
                <w:snapToGrid w:val="0"/>
                <w:color w:val="000000"/>
                <w:kern w:val="0"/>
                <w:position w:val="-1"/>
                <w:sz w:val="12"/>
                <w:szCs w:val="12"/>
                <w:lang w:val="en-US" w:eastAsia="en-US" w:bidi="ar-SA"/>
              </w:rPr>
              <w:t>1</w:t>
            </w:r>
          </w:p>
        </w:tc>
        <w:tc>
          <w:tcPr>
            <w:tcW w:w="1022" w:type="dxa"/>
            <w:vAlign w:val="top"/>
          </w:tcPr>
          <w:p w14:paraId="3A26A109">
            <w:pPr>
              <w:keepNext w:val="0"/>
              <w:keepLines w:val="0"/>
              <w:pageBreakBefore w:val="0"/>
              <w:kinsoku w:val="0"/>
              <w:wordWrap/>
              <w:overflowPunct/>
              <w:topLinePunct w:val="0"/>
              <w:autoSpaceDE w:val="0"/>
              <w:autoSpaceDN w:val="0"/>
              <w:bidi w:val="0"/>
              <w:adjustRightInd w:val="0"/>
              <w:snapToGrid w:val="0"/>
              <w:spacing w:before="100" w:line="181" w:lineRule="auto"/>
              <w:ind w:left="29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0.00</w:t>
            </w:r>
          </w:p>
        </w:tc>
        <w:tc>
          <w:tcPr>
            <w:tcW w:w="1019" w:type="dxa"/>
            <w:vAlign w:val="top"/>
          </w:tcPr>
          <w:p w14:paraId="3412C9BA">
            <w:pPr>
              <w:keepNext w:val="0"/>
              <w:keepLines w:val="0"/>
              <w:pageBreakBefore w:val="0"/>
              <w:kinsoku w:val="0"/>
              <w:wordWrap/>
              <w:overflowPunct/>
              <w:topLinePunct w:val="0"/>
              <w:autoSpaceDE w:val="0"/>
              <w:autoSpaceDN w:val="0"/>
              <w:bidi w:val="0"/>
              <w:adjustRightInd w:val="0"/>
              <w:snapToGrid w:val="0"/>
              <w:spacing w:before="100" w:line="181" w:lineRule="auto"/>
              <w:ind w:left="28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0.76</w:t>
            </w:r>
          </w:p>
        </w:tc>
        <w:tc>
          <w:tcPr>
            <w:tcW w:w="1022" w:type="dxa"/>
            <w:vAlign w:val="top"/>
          </w:tcPr>
          <w:p w14:paraId="576D461F">
            <w:pPr>
              <w:keepNext w:val="0"/>
              <w:keepLines w:val="0"/>
              <w:pageBreakBefore w:val="0"/>
              <w:kinsoku w:val="0"/>
              <w:wordWrap/>
              <w:overflowPunct/>
              <w:topLinePunct w:val="0"/>
              <w:autoSpaceDE w:val="0"/>
              <w:autoSpaceDN w:val="0"/>
              <w:bidi w:val="0"/>
              <w:adjustRightInd w:val="0"/>
              <w:snapToGrid w:val="0"/>
              <w:spacing w:before="100" w:line="181" w:lineRule="auto"/>
              <w:ind w:left="29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3.41</w:t>
            </w:r>
          </w:p>
        </w:tc>
        <w:tc>
          <w:tcPr>
            <w:tcW w:w="1019" w:type="dxa"/>
            <w:vAlign w:val="top"/>
          </w:tcPr>
          <w:p w14:paraId="3B64513F">
            <w:pPr>
              <w:keepNext w:val="0"/>
              <w:keepLines w:val="0"/>
              <w:pageBreakBefore w:val="0"/>
              <w:kinsoku w:val="0"/>
              <w:wordWrap/>
              <w:overflowPunct/>
              <w:topLinePunct w:val="0"/>
              <w:autoSpaceDE w:val="0"/>
              <w:autoSpaceDN w:val="0"/>
              <w:bidi w:val="0"/>
              <w:adjustRightInd w:val="0"/>
              <w:snapToGrid w:val="0"/>
              <w:spacing w:before="100" w:line="181" w:lineRule="auto"/>
              <w:ind w:left="28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8.10</w:t>
            </w:r>
          </w:p>
        </w:tc>
        <w:tc>
          <w:tcPr>
            <w:tcW w:w="1020" w:type="dxa"/>
            <w:vAlign w:val="top"/>
          </w:tcPr>
          <w:p w14:paraId="602AD62E">
            <w:pPr>
              <w:keepNext w:val="0"/>
              <w:keepLines w:val="0"/>
              <w:pageBreakBefore w:val="0"/>
              <w:kinsoku w:val="0"/>
              <w:wordWrap/>
              <w:overflowPunct/>
              <w:topLinePunct w:val="0"/>
              <w:autoSpaceDE w:val="0"/>
              <w:autoSpaceDN w:val="0"/>
              <w:bidi w:val="0"/>
              <w:adjustRightInd w:val="0"/>
              <w:snapToGrid w:val="0"/>
              <w:spacing w:before="100" w:line="181" w:lineRule="auto"/>
              <w:ind w:left="23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15.09</w:t>
            </w:r>
          </w:p>
        </w:tc>
        <w:tc>
          <w:tcPr>
            <w:tcW w:w="1027" w:type="dxa"/>
            <w:vAlign w:val="top"/>
          </w:tcPr>
          <w:p w14:paraId="0FDD3423">
            <w:pPr>
              <w:keepNext w:val="0"/>
              <w:keepLines w:val="0"/>
              <w:pageBreakBefore w:val="0"/>
              <w:kinsoku w:val="0"/>
              <w:wordWrap/>
              <w:overflowPunct/>
              <w:topLinePunct w:val="0"/>
              <w:autoSpaceDE w:val="0"/>
              <w:autoSpaceDN w:val="0"/>
              <w:bidi w:val="0"/>
              <w:adjustRightInd w:val="0"/>
              <w:snapToGrid w:val="0"/>
              <w:spacing w:before="100" w:line="181" w:lineRule="auto"/>
              <w:ind w:left="22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24.64</w:t>
            </w:r>
          </w:p>
        </w:tc>
      </w:tr>
      <w:tr w14:paraId="7D5FD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286" w:type="dxa"/>
            <w:vAlign w:val="top"/>
          </w:tcPr>
          <w:p w14:paraId="1FDE2A19">
            <w:pPr>
              <w:keepNext w:val="0"/>
              <w:keepLines w:val="0"/>
              <w:pageBreakBefore w:val="0"/>
              <w:kinsoku w:val="0"/>
              <w:wordWrap/>
              <w:overflowPunct/>
              <w:topLinePunct w:val="0"/>
              <w:autoSpaceDE w:val="0"/>
              <w:autoSpaceDN w:val="0"/>
              <w:bidi w:val="0"/>
              <w:adjustRightInd w:val="0"/>
              <w:snapToGrid w:val="0"/>
              <w:spacing w:before="65" w:line="222" w:lineRule="auto"/>
              <w:ind w:left="911" w:firstLine="0" w:firstLineChars="0"/>
              <w:jc w:val="left"/>
              <w:textAlignment w:val="baseline"/>
              <w:rPr>
                <w:rFonts w:ascii="仿宋" w:hAnsi="仿宋" w:eastAsia="仿宋" w:cs="仿宋"/>
                <w:snapToGrid w:val="0"/>
                <w:color w:val="000000"/>
                <w:kern w:val="0"/>
                <w:sz w:val="12"/>
                <w:szCs w:val="12"/>
                <w:lang w:val="en-US" w:eastAsia="en-US" w:bidi="ar-SA"/>
              </w:rPr>
            </w:pPr>
            <w:r>
              <w:rPr>
                <w:rFonts w:ascii="仿宋" w:hAnsi="仿宋" w:eastAsia="仿宋" w:cs="仿宋"/>
                <w:snapToGrid w:val="0"/>
                <w:color w:val="000000"/>
                <w:spacing w:val="-12"/>
                <w:kern w:val="0"/>
                <w:sz w:val="24"/>
                <w:szCs w:val="24"/>
                <w:lang w:val="en-US" w:eastAsia="en-US" w:bidi="ar-SA"/>
              </w:rPr>
              <w:t>Q</w:t>
            </w:r>
            <w:r>
              <w:rPr>
                <w:rFonts w:ascii="仿宋" w:hAnsi="仿宋" w:eastAsia="仿宋" w:cs="仿宋"/>
                <w:snapToGrid w:val="0"/>
                <w:color w:val="000000"/>
                <w:kern w:val="0"/>
                <w:position w:val="-1"/>
                <w:sz w:val="12"/>
                <w:szCs w:val="12"/>
                <w:lang w:val="en-US" w:eastAsia="en-US" w:bidi="ar-SA"/>
              </w:rPr>
              <w:t>2</w:t>
            </w:r>
            <w:r>
              <w:rPr>
                <w:rFonts w:ascii="仿宋" w:hAnsi="仿宋" w:eastAsia="仿宋" w:cs="仿宋"/>
                <w:snapToGrid w:val="0"/>
                <w:color w:val="000000"/>
                <w:kern w:val="0"/>
                <w:sz w:val="24"/>
                <w:szCs w:val="24"/>
                <w:lang w:val="en-US" w:eastAsia="en-US" w:bidi="ar-SA"/>
              </w:rPr>
              <w:t>=Q</w:t>
            </w:r>
            <w:r>
              <w:rPr>
                <w:rFonts w:ascii="仿宋" w:hAnsi="仿宋" w:eastAsia="仿宋" w:cs="仿宋"/>
                <w:snapToGrid w:val="0"/>
                <w:color w:val="000000"/>
                <w:kern w:val="0"/>
                <w:position w:val="-1"/>
                <w:sz w:val="12"/>
                <w:szCs w:val="12"/>
                <w:lang w:val="en-US" w:eastAsia="en-US" w:bidi="ar-SA"/>
              </w:rPr>
              <w:t>a</w:t>
            </w:r>
          </w:p>
        </w:tc>
        <w:tc>
          <w:tcPr>
            <w:tcW w:w="1022" w:type="dxa"/>
            <w:vAlign w:val="top"/>
          </w:tcPr>
          <w:p w14:paraId="78FA26EC">
            <w:pPr>
              <w:keepNext w:val="0"/>
              <w:keepLines w:val="0"/>
              <w:pageBreakBefore w:val="0"/>
              <w:kinsoku w:val="0"/>
              <w:wordWrap/>
              <w:overflowPunct/>
              <w:topLinePunct w:val="0"/>
              <w:autoSpaceDE w:val="0"/>
              <w:autoSpaceDN w:val="0"/>
              <w:bidi w:val="0"/>
              <w:adjustRightInd w:val="0"/>
              <w:snapToGrid w:val="0"/>
              <w:spacing w:before="101" w:line="181" w:lineRule="auto"/>
              <w:ind w:left="29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0.14</w:t>
            </w:r>
          </w:p>
        </w:tc>
        <w:tc>
          <w:tcPr>
            <w:tcW w:w="1019" w:type="dxa"/>
            <w:vAlign w:val="top"/>
          </w:tcPr>
          <w:p w14:paraId="7F86552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022" w:type="dxa"/>
            <w:vAlign w:val="top"/>
          </w:tcPr>
          <w:p w14:paraId="10BBFCA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019" w:type="dxa"/>
            <w:vAlign w:val="top"/>
          </w:tcPr>
          <w:p w14:paraId="6779E3A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020" w:type="dxa"/>
            <w:vAlign w:val="top"/>
          </w:tcPr>
          <w:p w14:paraId="7160028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027" w:type="dxa"/>
            <w:vAlign w:val="top"/>
          </w:tcPr>
          <w:p w14:paraId="3C8D0AD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255153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 w:hRule="atLeast"/>
        </w:trPr>
        <w:tc>
          <w:tcPr>
            <w:tcW w:w="2286" w:type="dxa"/>
            <w:vAlign w:val="top"/>
          </w:tcPr>
          <w:p w14:paraId="7840E4FB">
            <w:pPr>
              <w:keepNext w:val="0"/>
              <w:keepLines w:val="0"/>
              <w:pageBreakBefore w:val="0"/>
              <w:kinsoku w:val="0"/>
              <w:wordWrap/>
              <w:overflowPunct/>
              <w:topLinePunct w:val="0"/>
              <w:autoSpaceDE w:val="0"/>
              <w:autoSpaceDN w:val="0"/>
              <w:bidi w:val="0"/>
              <w:adjustRightInd w:val="0"/>
              <w:snapToGrid w:val="0"/>
              <w:spacing w:before="67" w:line="223" w:lineRule="auto"/>
              <w:ind w:left="762" w:firstLine="0" w:firstLineChars="0"/>
              <w:jc w:val="left"/>
              <w:textAlignment w:val="baseline"/>
              <w:rPr>
                <w:rFonts w:ascii="仿宋" w:hAnsi="仿宋" w:eastAsia="仿宋" w:cs="仿宋"/>
                <w:snapToGrid w:val="0"/>
                <w:color w:val="000000"/>
                <w:kern w:val="0"/>
                <w:sz w:val="12"/>
                <w:szCs w:val="12"/>
                <w:lang w:val="en-US" w:eastAsia="en-US" w:bidi="ar-SA"/>
              </w:rPr>
            </w:pPr>
            <w:r>
              <w:rPr>
                <w:rFonts w:ascii="仿宋" w:hAnsi="仿宋" w:eastAsia="仿宋" w:cs="仿宋"/>
                <w:snapToGrid w:val="0"/>
                <w:color w:val="000000"/>
                <w:spacing w:val="-12"/>
                <w:kern w:val="0"/>
                <w:sz w:val="24"/>
                <w:szCs w:val="24"/>
                <w:lang w:val="en-US" w:eastAsia="en-US" w:bidi="ar-SA"/>
              </w:rPr>
              <w:t>Q</w:t>
            </w:r>
            <w:r>
              <w:rPr>
                <w:rFonts w:ascii="仿宋" w:hAnsi="仿宋" w:eastAsia="仿宋" w:cs="仿宋"/>
                <w:snapToGrid w:val="0"/>
                <w:color w:val="000000"/>
                <w:kern w:val="0"/>
                <w:position w:val="-1"/>
                <w:sz w:val="12"/>
                <w:szCs w:val="12"/>
                <w:lang w:val="en-US" w:eastAsia="en-US" w:bidi="ar-SA"/>
              </w:rPr>
              <w:t>b</w:t>
            </w:r>
            <w:r>
              <w:rPr>
                <w:rFonts w:ascii="仿宋" w:hAnsi="仿宋" w:eastAsia="仿宋" w:cs="仿宋"/>
                <w:snapToGrid w:val="0"/>
                <w:color w:val="000000"/>
                <w:kern w:val="0"/>
                <w:sz w:val="24"/>
                <w:szCs w:val="24"/>
                <w:lang w:val="en-US" w:eastAsia="en-US" w:bidi="ar-SA"/>
              </w:rPr>
              <w:t>=Q</w:t>
            </w:r>
            <w:r>
              <w:rPr>
                <w:rFonts w:ascii="仿宋" w:hAnsi="仿宋" w:eastAsia="仿宋" w:cs="仿宋"/>
                <w:snapToGrid w:val="0"/>
                <w:color w:val="000000"/>
                <w:kern w:val="0"/>
                <w:position w:val="-1"/>
                <w:sz w:val="12"/>
                <w:szCs w:val="12"/>
                <w:lang w:val="en-US" w:eastAsia="en-US" w:bidi="ar-SA"/>
              </w:rPr>
              <w:t>1</w:t>
            </w:r>
            <w:r>
              <w:rPr>
                <w:rFonts w:ascii="仿宋" w:hAnsi="仿宋" w:eastAsia="仿宋" w:cs="仿宋"/>
                <w:snapToGrid w:val="0"/>
                <w:color w:val="000000"/>
                <w:kern w:val="0"/>
                <w:sz w:val="24"/>
                <w:szCs w:val="24"/>
                <w:lang w:val="en-US" w:eastAsia="en-US" w:bidi="ar-SA"/>
              </w:rPr>
              <w:t>+Q</w:t>
            </w:r>
            <w:r>
              <w:rPr>
                <w:rFonts w:ascii="仿宋" w:hAnsi="仿宋" w:eastAsia="仿宋" w:cs="仿宋"/>
                <w:snapToGrid w:val="0"/>
                <w:color w:val="000000"/>
                <w:kern w:val="0"/>
                <w:position w:val="-1"/>
                <w:sz w:val="12"/>
                <w:szCs w:val="12"/>
                <w:lang w:val="en-US" w:eastAsia="en-US" w:bidi="ar-SA"/>
              </w:rPr>
              <w:t>2</w:t>
            </w:r>
          </w:p>
        </w:tc>
        <w:tc>
          <w:tcPr>
            <w:tcW w:w="1022" w:type="dxa"/>
            <w:vAlign w:val="top"/>
          </w:tcPr>
          <w:p w14:paraId="17AB3989">
            <w:pPr>
              <w:keepNext w:val="0"/>
              <w:keepLines w:val="0"/>
              <w:pageBreakBefore w:val="0"/>
              <w:kinsoku w:val="0"/>
              <w:wordWrap/>
              <w:overflowPunct/>
              <w:topLinePunct w:val="0"/>
              <w:autoSpaceDE w:val="0"/>
              <w:autoSpaceDN w:val="0"/>
              <w:bidi w:val="0"/>
              <w:adjustRightInd w:val="0"/>
              <w:snapToGrid w:val="0"/>
              <w:spacing w:before="101" w:line="181" w:lineRule="auto"/>
              <w:ind w:left="29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0.14</w:t>
            </w:r>
          </w:p>
        </w:tc>
        <w:tc>
          <w:tcPr>
            <w:tcW w:w="1019" w:type="dxa"/>
            <w:vAlign w:val="top"/>
          </w:tcPr>
          <w:p w14:paraId="0D7DF8AE">
            <w:pPr>
              <w:keepNext w:val="0"/>
              <w:keepLines w:val="0"/>
              <w:pageBreakBefore w:val="0"/>
              <w:kinsoku w:val="0"/>
              <w:wordWrap/>
              <w:overflowPunct/>
              <w:topLinePunct w:val="0"/>
              <w:autoSpaceDE w:val="0"/>
              <w:autoSpaceDN w:val="0"/>
              <w:bidi w:val="0"/>
              <w:adjustRightInd w:val="0"/>
              <w:snapToGrid w:val="0"/>
              <w:spacing w:before="101" w:line="181" w:lineRule="auto"/>
              <w:ind w:left="28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0.76</w:t>
            </w:r>
          </w:p>
        </w:tc>
        <w:tc>
          <w:tcPr>
            <w:tcW w:w="1022" w:type="dxa"/>
            <w:vAlign w:val="top"/>
          </w:tcPr>
          <w:p w14:paraId="0FF91486">
            <w:pPr>
              <w:keepNext w:val="0"/>
              <w:keepLines w:val="0"/>
              <w:pageBreakBefore w:val="0"/>
              <w:kinsoku w:val="0"/>
              <w:wordWrap/>
              <w:overflowPunct/>
              <w:topLinePunct w:val="0"/>
              <w:autoSpaceDE w:val="0"/>
              <w:autoSpaceDN w:val="0"/>
              <w:bidi w:val="0"/>
              <w:adjustRightInd w:val="0"/>
              <w:snapToGrid w:val="0"/>
              <w:spacing w:before="101" w:line="181" w:lineRule="auto"/>
              <w:ind w:left="29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3.41</w:t>
            </w:r>
          </w:p>
        </w:tc>
        <w:tc>
          <w:tcPr>
            <w:tcW w:w="1019" w:type="dxa"/>
            <w:vAlign w:val="top"/>
          </w:tcPr>
          <w:p w14:paraId="55573F91">
            <w:pPr>
              <w:keepNext w:val="0"/>
              <w:keepLines w:val="0"/>
              <w:pageBreakBefore w:val="0"/>
              <w:kinsoku w:val="0"/>
              <w:wordWrap/>
              <w:overflowPunct/>
              <w:topLinePunct w:val="0"/>
              <w:autoSpaceDE w:val="0"/>
              <w:autoSpaceDN w:val="0"/>
              <w:bidi w:val="0"/>
              <w:adjustRightInd w:val="0"/>
              <w:snapToGrid w:val="0"/>
              <w:spacing w:before="101" w:line="181" w:lineRule="auto"/>
              <w:ind w:left="28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8.10</w:t>
            </w:r>
          </w:p>
        </w:tc>
        <w:tc>
          <w:tcPr>
            <w:tcW w:w="1020" w:type="dxa"/>
            <w:vAlign w:val="top"/>
          </w:tcPr>
          <w:p w14:paraId="32CB8694">
            <w:pPr>
              <w:keepNext w:val="0"/>
              <w:keepLines w:val="0"/>
              <w:pageBreakBefore w:val="0"/>
              <w:kinsoku w:val="0"/>
              <w:wordWrap/>
              <w:overflowPunct/>
              <w:topLinePunct w:val="0"/>
              <w:autoSpaceDE w:val="0"/>
              <w:autoSpaceDN w:val="0"/>
              <w:bidi w:val="0"/>
              <w:adjustRightInd w:val="0"/>
              <w:snapToGrid w:val="0"/>
              <w:spacing w:before="101" w:line="181" w:lineRule="auto"/>
              <w:ind w:left="23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15.09</w:t>
            </w:r>
          </w:p>
        </w:tc>
        <w:tc>
          <w:tcPr>
            <w:tcW w:w="1027" w:type="dxa"/>
            <w:vAlign w:val="top"/>
          </w:tcPr>
          <w:p w14:paraId="1EF79D02">
            <w:pPr>
              <w:keepNext w:val="0"/>
              <w:keepLines w:val="0"/>
              <w:pageBreakBefore w:val="0"/>
              <w:kinsoku w:val="0"/>
              <w:wordWrap/>
              <w:overflowPunct/>
              <w:topLinePunct w:val="0"/>
              <w:autoSpaceDE w:val="0"/>
              <w:autoSpaceDN w:val="0"/>
              <w:bidi w:val="0"/>
              <w:adjustRightInd w:val="0"/>
              <w:snapToGrid w:val="0"/>
              <w:spacing w:before="101" w:line="181" w:lineRule="auto"/>
              <w:ind w:left="22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24.64</w:t>
            </w:r>
          </w:p>
        </w:tc>
      </w:tr>
    </w:tbl>
    <w:p w14:paraId="790A94F8">
      <w:pPr>
        <w:keepNext w:val="0"/>
        <w:keepLines w:val="0"/>
        <w:pageBreakBefore w:val="0"/>
        <w:widowControl w:val="0"/>
        <w:kinsoku/>
        <w:wordWrap/>
        <w:overflowPunct/>
        <w:topLinePunct w:val="0"/>
        <w:autoSpaceDE/>
        <w:autoSpaceDN/>
        <w:bidi w:val="0"/>
        <w:adjustRightInd w:val="0"/>
        <w:snapToGrid w:val="0"/>
        <w:spacing w:line="221" w:lineRule="auto"/>
        <w:ind w:left="0" w:leftChars="0" w:firstLine="0" w:firstLineChars="0"/>
        <w:jc w:val="center"/>
        <w:textAlignment w:val="auto"/>
        <w:rPr>
          <w:rFonts w:ascii="宋体" w:hAnsi="宋体" w:eastAsia="宋体" w:cs="宋体"/>
          <w:sz w:val="28"/>
          <w:szCs w:val="28"/>
        </w:rPr>
      </w:pPr>
      <w:r>
        <w:rPr>
          <w:rFonts w:ascii="宋体" w:hAnsi="宋体" w:eastAsia="宋体" w:cs="宋体"/>
          <w:spacing w:val="-1"/>
          <w:sz w:val="28"/>
          <w:szCs w:val="28"/>
        </w:rPr>
        <w:t>表</w:t>
      </w:r>
      <w:r>
        <w:rPr>
          <w:rFonts w:hint="eastAsia" w:ascii="宋体" w:hAnsi="宋体" w:eastAsia="宋体" w:cs="宋体"/>
          <w:spacing w:val="-1"/>
          <w:sz w:val="28"/>
          <w:szCs w:val="28"/>
          <w:lang w:val="en-US" w:eastAsia="zh-CN"/>
        </w:rPr>
        <w:t>5.3.2-6</w:t>
      </w:r>
      <w:r>
        <w:rPr>
          <w:rFonts w:ascii="宋体" w:hAnsi="宋体" w:eastAsia="宋体" w:cs="宋体"/>
          <w:spacing w:val="-1"/>
          <w:sz w:val="28"/>
          <w:szCs w:val="28"/>
        </w:rPr>
        <w:t>不同库水位时斜槽的半压力流计算表</w:t>
      </w:r>
    </w:p>
    <w:tbl>
      <w:tblPr>
        <w:tblStyle w:val="27"/>
        <w:tblW w:w="84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04"/>
        <w:gridCol w:w="941"/>
        <w:gridCol w:w="854"/>
        <w:gridCol w:w="854"/>
        <w:gridCol w:w="854"/>
        <w:gridCol w:w="851"/>
        <w:gridCol w:w="854"/>
        <w:gridCol w:w="854"/>
        <w:gridCol w:w="849"/>
      </w:tblGrid>
      <w:tr w14:paraId="0EF566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1504" w:type="dxa"/>
            <w:tcBorders>
              <w:tl2br w:val="single" w:color="000000" w:sz="2" w:space="0"/>
            </w:tcBorders>
            <w:vAlign w:val="top"/>
          </w:tcPr>
          <w:p w14:paraId="615F3095">
            <w:pPr>
              <w:keepNext w:val="0"/>
              <w:keepLines w:val="0"/>
              <w:pageBreakBefore w:val="0"/>
              <w:widowControl w:val="0"/>
              <w:kinsoku w:val="0"/>
              <w:wordWrap/>
              <w:overflowPunct/>
              <w:topLinePunct w:val="0"/>
              <w:autoSpaceDE w:val="0"/>
              <w:autoSpaceDN w:val="0"/>
              <w:bidi w:val="0"/>
              <w:adjustRightInd w:val="0"/>
              <w:snapToGrid w:val="0"/>
              <w:spacing w:before="39" w:line="224" w:lineRule="auto"/>
              <w:ind w:left="0" w:leftChars="0" w:right="7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
                <w:kern w:val="0"/>
                <w:sz w:val="24"/>
                <w:szCs w:val="24"/>
                <w:lang w:val="en-US" w:eastAsia="en-US" w:bidi="ar-SA"/>
              </w:rPr>
              <w:t>库水位（m）</w:t>
            </w:r>
          </w:p>
          <w:p w14:paraId="0EB814B7">
            <w:pPr>
              <w:keepNext w:val="0"/>
              <w:keepLines w:val="0"/>
              <w:pageBreakBefore w:val="0"/>
              <w:widowControl w:val="0"/>
              <w:kinsoku w:val="0"/>
              <w:wordWrap/>
              <w:overflowPunct/>
              <w:topLinePunct w:val="0"/>
              <w:autoSpaceDE w:val="0"/>
              <w:autoSpaceDN w:val="0"/>
              <w:bidi w:val="0"/>
              <w:adjustRightInd w:val="0"/>
              <w:snapToGrid w:val="0"/>
              <w:spacing w:before="39" w:line="224" w:lineRule="auto"/>
              <w:ind w:left="0" w:leftChars="0" w:right="7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计算项目</w:t>
            </w:r>
          </w:p>
        </w:tc>
        <w:tc>
          <w:tcPr>
            <w:tcW w:w="941" w:type="dxa"/>
            <w:vAlign w:val="top"/>
          </w:tcPr>
          <w:p w14:paraId="5286463C">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229.65</w:t>
            </w:r>
          </w:p>
        </w:tc>
        <w:tc>
          <w:tcPr>
            <w:tcW w:w="854" w:type="dxa"/>
            <w:vAlign w:val="top"/>
          </w:tcPr>
          <w:p w14:paraId="486035EB">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230.2</w:t>
            </w:r>
          </w:p>
        </w:tc>
        <w:tc>
          <w:tcPr>
            <w:tcW w:w="854" w:type="dxa"/>
            <w:vAlign w:val="top"/>
          </w:tcPr>
          <w:p w14:paraId="3414DB25">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230.6</w:t>
            </w:r>
          </w:p>
        </w:tc>
        <w:tc>
          <w:tcPr>
            <w:tcW w:w="854" w:type="dxa"/>
            <w:vAlign w:val="top"/>
          </w:tcPr>
          <w:p w14:paraId="2134F64D">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231.0</w:t>
            </w:r>
          </w:p>
        </w:tc>
        <w:tc>
          <w:tcPr>
            <w:tcW w:w="851" w:type="dxa"/>
            <w:vAlign w:val="top"/>
          </w:tcPr>
          <w:p w14:paraId="3D31AA98">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231.4</w:t>
            </w:r>
          </w:p>
        </w:tc>
        <w:tc>
          <w:tcPr>
            <w:tcW w:w="854" w:type="dxa"/>
            <w:vAlign w:val="top"/>
          </w:tcPr>
          <w:p w14:paraId="77A5DFE7">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231.8</w:t>
            </w:r>
          </w:p>
        </w:tc>
        <w:tc>
          <w:tcPr>
            <w:tcW w:w="854" w:type="dxa"/>
            <w:vAlign w:val="top"/>
          </w:tcPr>
          <w:p w14:paraId="1A07503B">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232.2</w:t>
            </w:r>
          </w:p>
        </w:tc>
        <w:tc>
          <w:tcPr>
            <w:tcW w:w="849" w:type="dxa"/>
            <w:vAlign w:val="top"/>
          </w:tcPr>
          <w:p w14:paraId="2709AB9D">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232.6</w:t>
            </w:r>
          </w:p>
        </w:tc>
      </w:tr>
      <w:tr w14:paraId="744AD1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1504" w:type="dxa"/>
            <w:vAlign w:val="top"/>
          </w:tcPr>
          <w:p w14:paraId="762CBE73">
            <w:pPr>
              <w:keepNext w:val="0"/>
              <w:keepLines w:val="0"/>
              <w:pageBreakBefore w:val="0"/>
              <w:widowControl w:val="0"/>
              <w:kinsoku w:val="0"/>
              <w:wordWrap/>
              <w:overflowPunct/>
              <w:topLinePunct w:val="0"/>
              <w:autoSpaceDE w:val="0"/>
              <w:autoSpaceDN w:val="0"/>
              <w:bidi w:val="0"/>
              <w:adjustRightInd w:val="0"/>
              <w:snapToGrid w:val="0"/>
              <w:spacing w:before="34" w:line="223" w:lineRule="auto"/>
              <w:ind w:left="335" w:right="2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w w:val="95"/>
                <w:kern w:val="0"/>
                <w:sz w:val="24"/>
                <w:szCs w:val="24"/>
                <w:lang w:val="en-US" w:eastAsia="en-US" w:bidi="ar-SA"/>
              </w:rPr>
              <w:t>H</w:t>
            </w:r>
            <w:r>
              <w:rPr>
                <w:rFonts w:ascii="仿宋" w:hAnsi="仿宋" w:eastAsia="仿宋" w:cs="仿宋"/>
                <w:snapToGrid w:val="0"/>
                <w:color w:val="000000"/>
                <w:spacing w:val="-1"/>
                <w:kern w:val="0"/>
                <w:position w:val="-1"/>
                <w:sz w:val="12"/>
                <w:szCs w:val="12"/>
                <w:lang w:val="en-US" w:eastAsia="en-US" w:bidi="ar-SA"/>
              </w:rPr>
              <w:t>b</w:t>
            </w:r>
            <w:r>
              <w:rPr>
                <w:rFonts w:ascii="仿宋" w:hAnsi="仿宋" w:eastAsia="仿宋" w:cs="仿宋"/>
                <w:snapToGrid w:val="0"/>
                <w:color w:val="000000"/>
                <w:spacing w:val="-1"/>
                <w:kern w:val="0"/>
                <w:sz w:val="24"/>
                <w:szCs w:val="24"/>
                <w:lang w:val="en-US" w:eastAsia="en-US" w:bidi="ar-SA"/>
              </w:rPr>
              <w:t>=库水位</w:t>
            </w:r>
            <w:r>
              <w:rPr>
                <w:rFonts w:ascii="仿宋" w:hAnsi="仿宋" w:eastAsia="仿宋" w:cs="仿宋"/>
                <w:snapToGrid w:val="0"/>
                <w:color w:val="000000"/>
                <w:spacing w:val="4"/>
                <w:kern w:val="0"/>
                <w:sz w:val="24"/>
                <w:szCs w:val="24"/>
                <w:lang w:val="en-US" w:eastAsia="en-US" w:bidi="ar-SA"/>
              </w:rPr>
              <w:t xml:space="preserve"> </w:t>
            </w:r>
            <w:r>
              <w:rPr>
                <w:rFonts w:ascii="仿宋" w:hAnsi="仿宋" w:eastAsia="仿宋" w:cs="仿宋"/>
                <w:snapToGrid w:val="0"/>
                <w:color w:val="000000"/>
                <w:spacing w:val="-2"/>
                <w:kern w:val="0"/>
                <w:sz w:val="24"/>
                <w:szCs w:val="24"/>
                <w:lang w:val="en-US" w:eastAsia="en-US" w:bidi="ar-SA"/>
              </w:rPr>
              <w:t>-228.85</w:t>
            </w:r>
          </w:p>
        </w:tc>
        <w:tc>
          <w:tcPr>
            <w:tcW w:w="941" w:type="dxa"/>
            <w:vAlign w:val="top"/>
          </w:tcPr>
          <w:p w14:paraId="2AEE06AF">
            <w:pPr>
              <w:keepNext w:val="0"/>
              <w:keepLines w:val="0"/>
              <w:pageBreakBefore w:val="0"/>
              <w:widowControl w:val="0"/>
              <w:kinsoku w:val="0"/>
              <w:wordWrap/>
              <w:overflowPunct/>
              <w:topLinePunct w:val="0"/>
              <w:autoSpaceDE w:val="0"/>
              <w:autoSpaceDN w:val="0"/>
              <w:bidi w:val="0"/>
              <w:adjustRightInd w:val="0"/>
              <w:snapToGrid w:val="0"/>
              <w:spacing w:before="225" w:line="181" w:lineRule="auto"/>
              <w:ind w:left="24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0.80</w:t>
            </w:r>
          </w:p>
        </w:tc>
        <w:tc>
          <w:tcPr>
            <w:tcW w:w="854" w:type="dxa"/>
            <w:vAlign w:val="top"/>
          </w:tcPr>
          <w:p w14:paraId="39A6AE81">
            <w:pPr>
              <w:keepNext w:val="0"/>
              <w:keepLines w:val="0"/>
              <w:pageBreakBefore w:val="0"/>
              <w:widowControl w:val="0"/>
              <w:kinsoku w:val="0"/>
              <w:wordWrap/>
              <w:overflowPunct/>
              <w:topLinePunct w:val="0"/>
              <w:autoSpaceDE w:val="0"/>
              <w:autoSpaceDN w:val="0"/>
              <w:bidi w:val="0"/>
              <w:adjustRightInd w:val="0"/>
              <w:snapToGrid w:val="0"/>
              <w:spacing w:before="225" w:line="181" w:lineRule="auto"/>
              <w:ind w:left="20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1.35</w:t>
            </w:r>
          </w:p>
        </w:tc>
        <w:tc>
          <w:tcPr>
            <w:tcW w:w="854" w:type="dxa"/>
            <w:vAlign w:val="top"/>
          </w:tcPr>
          <w:p w14:paraId="4B29FF76">
            <w:pPr>
              <w:keepNext w:val="0"/>
              <w:keepLines w:val="0"/>
              <w:pageBreakBefore w:val="0"/>
              <w:widowControl w:val="0"/>
              <w:kinsoku w:val="0"/>
              <w:wordWrap/>
              <w:overflowPunct/>
              <w:topLinePunct w:val="0"/>
              <w:autoSpaceDE w:val="0"/>
              <w:autoSpaceDN w:val="0"/>
              <w:bidi w:val="0"/>
              <w:adjustRightInd w:val="0"/>
              <w:snapToGrid w:val="0"/>
              <w:spacing w:before="225" w:line="181" w:lineRule="auto"/>
              <w:ind w:left="20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1.75</w:t>
            </w:r>
          </w:p>
        </w:tc>
        <w:tc>
          <w:tcPr>
            <w:tcW w:w="854" w:type="dxa"/>
            <w:vAlign w:val="top"/>
          </w:tcPr>
          <w:p w14:paraId="1CAE0180">
            <w:pPr>
              <w:keepNext w:val="0"/>
              <w:keepLines w:val="0"/>
              <w:pageBreakBefore w:val="0"/>
              <w:widowControl w:val="0"/>
              <w:kinsoku w:val="0"/>
              <w:wordWrap/>
              <w:overflowPunct/>
              <w:topLinePunct w:val="0"/>
              <w:autoSpaceDE w:val="0"/>
              <w:autoSpaceDN w:val="0"/>
              <w:bidi w:val="0"/>
              <w:adjustRightInd w:val="0"/>
              <w:snapToGrid w:val="0"/>
              <w:spacing w:before="225" w:line="181" w:lineRule="auto"/>
              <w:ind w:left="20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2.15</w:t>
            </w:r>
          </w:p>
        </w:tc>
        <w:tc>
          <w:tcPr>
            <w:tcW w:w="851" w:type="dxa"/>
            <w:vAlign w:val="top"/>
          </w:tcPr>
          <w:p w14:paraId="0A7166B5">
            <w:pPr>
              <w:keepNext w:val="0"/>
              <w:keepLines w:val="0"/>
              <w:pageBreakBefore w:val="0"/>
              <w:widowControl w:val="0"/>
              <w:kinsoku w:val="0"/>
              <w:wordWrap/>
              <w:overflowPunct/>
              <w:topLinePunct w:val="0"/>
              <w:autoSpaceDE w:val="0"/>
              <w:autoSpaceDN w:val="0"/>
              <w:bidi w:val="0"/>
              <w:adjustRightInd w:val="0"/>
              <w:snapToGrid w:val="0"/>
              <w:spacing w:before="225" w:line="181" w:lineRule="auto"/>
              <w:ind w:left="20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2.55</w:t>
            </w:r>
          </w:p>
        </w:tc>
        <w:tc>
          <w:tcPr>
            <w:tcW w:w="854" w:type="dxa"/>
            <w:vAlign w:val="top"/>
          </w:tcPr>
          <w:p w14:paraId="48EB35A5">
            <w:pPr>
              <w:keepNext w:val="0"/>
              <w:keepLines w:val="0"/>
              <w:pageBreakBefore w:val="0"/>
              <w:widowControl w:val="0"/>
              <w:kinsoku w:val="0"/>
              <w:wordWrap/>
              <w:overflowPunct/>
              <w:topLinePunct w:val="0"/>
              <w:autoSpaceDE w:val="0"/>
              <w:autoSpaceDN w:val="0"/>
              <w:bidi w:val="0"/>
              <w:adjustRightInd w:val="0"/>
              <w:snapToGrid w:val="0"/>
              <w:spacing w:before="225" w:line="181" w:lineRule="auto"/>
              <w:ind w:left="20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2.95</w:t>
            </w:r>
          </w:p>
        </w:tc>
        <w:tc>
          <w:tcPr>
            <w:tcW w:w="854" w:type="dxa"/>
            <w:vAlign w:val="top"/>
          </w:tcPr>
          <w:p w14:paraId="4DA06409">
            <w:pPr>
              <w:keepNext w:val="0"/>
              <w:keepLines w:val="0"/>
              <w:pageBreakBefore w:val="0"/>
              <w:widowControl w:val="0"/>
              <w:kinsoku w:val="0"/>
              <w:wordWrap/>
              <w:overflowPunct/>
              <w:topLinePunct w:val="0"/>
              <w:autoSpaceDE w:val="0"/>
              <w:autoSpaceDN w:val="0"/>
              <w:bidi w:val="0"/>
              <w:adjustRightInd w:val="0"/>
              <w:snapToGrid w:val="0"/>
              <w:spacing w:before="225" w:line="181" w:lineRule="auto"/>
              <w:ind w:left="21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3.35</w:t>
            </w:r>
          </w:p>
        </w:tc>
        <w:tc>
          <w:tcPr>
            <w:tcW w:w="849" w:type="dxa"/>
            <w:vAlign w:val="top"/>
          </w:tcPr>
          <w:p w14:paraId="249890AC">
            <w:pPr>
              <w:keepNext w:val="0"/>
              <w:keepLines w:val="0"/>
              <w:pageBreakBefore w:val="0"/>
              <w:widowControl w:val="0"/>
              <w:kinsoku w:val="0"/>
              <w:wordWrap/>
              <w:overflowPunct/>
              <w:topLinePunct w:val="0"/>
              <w:autoSpaceDE w:val="0"/>
              <w:autoSpaceDN w:val="0"/>
              <w:bidi w:val="0"/>
              <w:adjustRightInd w:val="0"/>
              <w:snapToGrid w:val="0"/>
              <w:spacing w:before="225" w:line="181" w:lineRule="auto"/>
              <w:ind w:left="21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3.75</w:t>
            </w:r>
          </w:p>
        </w:tc>
      </w:tr>
      <w:tr w14:paraId="1776C5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 w:hRule="atLeast"/>
        </w:trPr>
        <w:tc>
          <w:tcPr>
            <w:tcW w:w="1504" w:type="dxa"/>
            <w:vAlign w:val="top"/>
          </w:tcPr>
          <w:p w14:paraId="147FBF15">
            <w:pPr>
              <w:keepNext w:val="0"/>
              <w:keepLines w:val="0"/>
              <w:pageBreakBefore w:val="0"/>
              <w:widowControl w:val="0"/>
              <w:kinsoku w:val="0"/>
              <w:wordWrap/>
              <w:overflowPunct/>
              <w:topLinePunct w:val="0"/>
              <w:autoSpaceDE w:val="0"/>
              <w:autoSpaceDN w:val="0"/>
              <w:bidi w:val="0"/>
              <w:adjustRightInd w:val="0"/>
              <w:snapToGrid w:val="0"/>
              <w:spacing w:before="92" w:line="222" w:lineRule="auto"/>
              <w:ind w:left="69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Q</w:t>
            </w:r>
          </w:p>
        </w:tc>
        <w:tc>
          <w:tcPr>
            <w:tcW w:w="941" w:type="dxa"/>
            <w:vAlign w:val="top"/>
          </w:tcPr>
          <w:p w14:paraId="2417D6B6">
            <w:pPr>
              <w:keepNext w:val="0"/>
              <w:keepLines w:val="0"/>
              <w:pageBreakBefore w:val="0"/>
              <w:widowControl w:val="0"/>
              <w:kinsoku w:val="0"/>
              <w:wordWrap/>
              <w:overflowPunct/>
              <w:topLinePunct w:val="0"/>
              <w:autoSpaceDE w:val="0"/>
              <w:autoSpaceDN w:val="0"/>
              <w:bidi w:val="0"/>
              <w:adjustRightInd w:val="0"/>
              <w:snapToGrid w:val="0"/>
              <w:spacing w:before="127" w:line="181" w:lineRule="auto"/>
              <w:ind w:left="24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2.47</w:t>
            </w:r>
          </w:p>
        </w:tc>
        <w:tc>
          <w:tcPr>
            <w:tcW w:w="854" w:type="dxa"/>
            <w:vAlign w:val="top"/>
          </w:tcPr>
          <w:p w14:paraId="7C49398F">
            <w:pPr>
              <w:keepNext w:val="0"/>
              <w:keepLines w:val="0"/>
              <w:pageBreakBefore w:val="0"/>
              <w:widowControl w:val="0"/>
              <w:kinsoku w:val="0"/>
              <w:wordWrap/>
              <w:overflowPunct/>
              <w:topLinePunct w:val="0"/>
              <w:autoSpaceDE w:val="0"/>
              <w:autoSpaceDN w:val="0"/>
              <w:bidi w:val="0"/>
              <w:adjustRightInd w:val="0"/>
              <w:snapToGrid w:val="0"/>
              <w:spacing w:before="127" w:line="181" w:lineRule="auto"/>
              <w:ind w:left="2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3.21</w:t>
            </w:r>
          </w:p>
        </w:tc>
        <w:tc>
          <w:tcPr>
            <w:tcW w:w="854" w:type="dxa"/>
            <w:vAlign w:val="top"/>
          </w:tcPr>
          <w:p w14:paraId="1983ED5C">
            <w:pPr>
              <w:keepNext w:val="0"/>
              <w:keepLines w:val="0"/>
              <w:pageBreakBefore w:val="0"/>
              <w:widowControl w:val="0"/>
              <w:kinsoku w:val="0"/>
              <w:wordWrap/>
              <w:overflowPunct/>
              <w:topLinePunct w:val="0"/>
              <w:autoSpaceDE w:val="0"/>
              <w:autoSpaceDN w:val="0"/>
              <w:bidi w:val="0"/>
              <w:adjustRightInd w:val="0"/>
              <w:snapToGrid w:val="0"/>
              <w:spacing w:before="127" w:line="181" w:lineRule="auto"/>
              <w:ind w:left="21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3.66</w:t>
            </w:r>
          </w:p>
        </w:tc>
        <w:tc>
          <w:tcPr>
            <w:tcW w:w="854" w:type="dxa"/>
            <w:vAlign w:val="top"/>
          </w:tcPr>
          <w:p w14:paraId="6BAB3091">
            <w:pPr>
              <w:keepNext w:val="0"/>
              <w:keepLines w:val="0"/>
              <w:pageBreakBefore w:val="0"/>
              <w:widowControl w:val="0"/>
              <w:kinsoku w:val="0"/>
              <w:wordWrap/>
              <w:overflowPunct/>
              <w:topLinePunct w:val="0"/>
              <w:autoSpaceDE w:val="0"/>
              <w:autoSpaceDN w:val="0"/>
              <w:bidi w:val="0"/>
              <w:adjustRightInd w:val="0"/>
              <w:snapToGrid w:val="0"/>
              <w:spacing w:before="127" w:line="181" w:lineRule="auto"/>
              <w:ind w:left="20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4.05</w:t>
            </w:r>
          </w:p>
        </w:tc>
        <w:tc>
          <w:tcPr>
            <w:tcW w:w="851" w:type="dxa"/>
            <w:vAlign w:val="top"/>
          </w:tcPr>
          <w:p w14:paraId="083CC7A4">
            <w:pPr>
              <w:keepNext w:val="0"/>
              <w:keepLines w:val="0"/>
              <w:pageBreakBefore w:val="0"/>
              <w:widowControl w:val="0"/>
              <w:kinsoku w:val="0"/>
              <w:wordWrap/>
              <w:overflowPunct/>
              <w:topLinePunct w:val="0"/>
              <w:autoSpaceDE w:val="0"/>
              <w:autoSpaceDN w:val="0"/>
              <w:bidi w:val="0"/>
              <w:adjustRightInd w:val="0"/>
              <w:snapToGrid w:val="0"/>
              <w:spacing w:before="127" w:line="181" w:lineRule="auto"/>
              <w:ind w:left="20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4.41</w:t>
            </w:r>
          </w:p>
        </w:tc>
        <w:tc>
          <w:tcPr>
            <w:tcW w:w="854" w:type="dxa"/>
            <w:vAlign w:val="top"/>
          </w:tcPr>
          <w:p w14:paraId="0C4C05FE">
            <w:pPr>
              <w:keepNext w:val="0"/>
              <w:keepLines w:val="0"/>
              <w:pageBreakBefore w:val="0"/>
              <w:widowControl w:val="0"/>
              <w:kinsoku w:val="0"/>
              <w:wordWrap/>
              <w:overflowPunct/>
              <w:topLinePunct w:val="0"/>
              <w:autoSpaceDE w:val="0"/>
              <w:autoSpaceDN w:val="0"/>
              <w:bidi w:val="0"/>
              <w:adjustRightInd w:val="0"/>
              <w:snapToGrid w:val="0"/>
              <w:spacing w:before="127" w:line="181" w:lineRule="auto"/>
              <w:ind w:left="20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4.75</w:t>
            </w:r>
          </w:p>
        </w:tc>
        <w:tc>
          <w:tcPr>
            <w:tcW w:w="854" w:type="dxa"/>
            <w:vAlign w:val="top"/>
          </w:tcPr>
          <w:p w14:paraId="7A601DBC">
            <w:pPr>
              <w:keepNext w:val="0"/>
              <w:keepLines w:val="0"/>
              <w:pageBreakBefore w:val="0"/>
              <w:widowControl w:val="0"/>
              <w:kinsoku w:val="0"/>
              <w:wordWrap/>
              <w:overflowPunct/>
              <w:topLinePunct w:val="0"/>
              <w:autoSpaceDE w:val="0"/>
              <w:autoSpaceDN w:val="0"/>
              <w:bidi w:val="0"/>
              <w:adjustRightInd w:val="0"/>
              <w:snapToGrid w:val="0"/>
              <w:spacing w:before="127" w:line="181" w:lineRule="auto"/>
              <w:ind w:left="20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5.06</w:t>
            </w:r>
          </w:p>
        </w:tc>
        <w:tc>
          <w:tcPr>
            <w:tcW w:w="849" w:type="dxa"/>
            <w:vAlign w:val="top"/>
          </w:tcPr>
          <w:p w14:paraId="7482788F">
            <w:pPr>
              <w:keepNext w:val="0"/>
              <w:keepLines w:val="0"/>
              <w:pageBreakBefore w:val="0"/>
              <w:widowControl w:val="0"/>
              <w:kinsoku w:val="0"/>
              <w:wordWrap/>
              <w:overflowPunct/>
              <w:topLinePunct w:val="0"/>
              <w:autoSpaceDE w:val="0"/>
              <w:autoSpaceDN w:val="0"/>
              <w:bidi w:val="0"/>
              <w:adjustRightInd w:val="0"/>
              <w:snapToGrid w:val="0"/>
              <w:spacing w:before="127" w:line="181" w:lineRule="auto"/>
              <w:ind w:left="20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5.35</w:t>
            </w:r>
          </w:p>
        </w:tc>
      </w:tr>
    </w:tbl>
    <w:p w14:paraId="23E7A43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pPr>
      <w:r>
        <w:t>表</w:t>
      </w:r>
      <w:r>
        <w:rPr>
          <w:rFonts w:hint="default" w:ascii="Times New Roman" w:hAnsi="Times New Roman" w:cs="Times New Roman"/>
          <w:lang w:val="en-US" w:eastAsia="zh-CN"/>
        </w:rPr>
        <w:t>5.3.2-7</w:t>
      </w:r>
      <w:r>
        <w:t>不同库水位时斜槽的压力流计算表</w:t>
      </w:r>
    </w:p>
    <w:tbl>
      <w:tblPr>
        <w:tblStyle w:val="27"/>
        <w:tblW w:w="84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04"/>
        <w:gridCol w:w="941"/>
        <w:gridCol w:w="854"/>
        <w:gridCol w:w="854"/>
        <w:gridCol w:w="854"/>
        <w:gridCol w:w="851"/>
        <w:gridCol w:w="854"/>
        <w:gridCol w:w="854"/>
        <w:gridCol w:w="849"/>
      </w:tblGrid>
      <w:tr w14:paraId="1AB3A7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1" w:hRule="atLeast"/>
        </w:trPr>
        <w:tc>
          <w:tcPr>
            <w:tcW w:w="1504" w:type="dxa"/>
            <w:tcBorders>
              <w:tl2br w:val="single" w:color="000000" w:sz="2" w:space="0"/>
            </w:tcBorders>
            <w:vAlign w:val="top"/>
          </w:tcPr>
          <w:p w14:paraId="46CC2A69">
            <w:pPr>
              <w:keepNext w:val="0"/>
              <w:keepLines w:val="0"/>
              <w:pageBreakBefore w:val="0"/>
              <w:widowControl w:val="0"/>
              <w:kinsoku w:val="0"/>
              <w:wordWrap/>
              <w:overflowPunct/>
              <w:topLinePunct w:val="0"/>
              <w:autoSpaceDE w:val="0"/>
              <w:autoSpaceDN w:val="0"/>
              <w:bidi w:val="0"/>
              <w:adjustRightInd w:val="0"/>
              <w:snapToGrid w:val="0"/>
              <w:spacing w:before="41" w:line="223" w:lineRule="auto"/>
              <w:ind w:left="0" w:leftChars="0" w:right="71" w:firstLine="238" w:firstLineChars="100"/>
              <w:jc w:val="left"/>
              <w:textAlignment w:val="baseline"/>
              <w:rPr>
                <w:rFonts w:ascii="仿宋" w:hAnsi="仿宋" w:eastAsia="仿宋" w:cs="仿宋"/>
                <w:snapToGrid w:val="0"/>
                <w:color w:val="000000"/>
                <w:spacing w:val="-1"/>
                <w:kern w:val="0"/>
                <w:sz w:val="24"/>
                <w:szCs w:val="24"/>
                <w:lang w:val="en-US" w:eastAsia="en-US" w:bidi="ar-SA"/>
              </w:rPr>
            </w:pPr>
            <w:r>
              <w:rPr>
                <w:rFonts w:ascii="仿宋" w:hAnsi="仿宋" w:eastAsia="仿宋" w:cs="仿宋"/>
                <w:snapToGrid w:val="0"/>
                <w:color w:val="000000"/>
                <w:spacing w:val="-1"/>
                <w:kern w:val="0"/>
                <w:sz w:val="24"/>
                <w:szCs w:val="24"/>
                <w:lang w:val="en-US" w:eastAsia="en-US" w:bidi="ar-SA"/>
              </w:rPr>
              <w:t>库水位（m）</w:t>
            </w:r>
          </w:p>
          <w:p w14:paraId="26A115D1">
            <w:pPr>
              <w:keepNext w:val="0"/>
              <w:keepLines w:val="0"/>
              <w:pageBreakBefore w:val="0"/>
              <w:widowControl w:val="0"/>
              <w:kinsoku w:val="0"/>
              <w:wordWrap/>
              <w:overflowPunct/>
              <w:topLinePunct w:val="0"/>
              <w:autoSpaceDE w:val="0"/>
              <w:autoSpaceDN w:val="0"/>
              <w:bidi w:val="0"/>
              <w:adjustRightInd w:val="0"/>
              <w:snapToGrid w:val="0"/>
              <w:spacing w:before="41" w:line="223" w:lineRule="auto"/>
              <w:ind w:left="0" w:leftChars="0" w:right="7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计算项目</w:t>
            </w:r>
          </w:p>
        </w:tc>
        <w:tc>
          <w:tcPr>
            <w:tcW w:w="941" w:type="dxa"/>
            <w:vAlign w:val="top"/>
          </w:tcPr>
          <w:p w14:paraId="56D5AA9B">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229.65</w:t>
            </w:r>
          </w:p>
        </w:tc>
        <w:tc>
          <w:tcPr>
            <w:tcW w:w="854" w:type="dxa"/>
            <w:vAlign w:val="top"/>
          </w:tcPr>
          <w:p w14:paraId="4E153F35">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230.2</w:t>
            </w:r>
          </w:p>
        </w:tc>
        <w:tc>
          <w:tcPr>
            <w:tcW w:w="854" w:type="dxa"/>
            <w:vAlign w:val="top"/>
          </w:tcPr>
          <w:p w14:paraId="27581F36">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230.6</w:t>
            </w:r>
          </w:p>
        </w:tc>
        <w:tc>
          <w:tcPr>
            <w:tcW w:w="854" w:type="dxa"/>
            <w:vAlign w:val="top"/>
          </w:tcPr>
          <w:p w14:paraId="494347FD">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231.0</w:t>
            </w:r>
          </w:p>
        </w:tc>
        <w:tc>
          <w:tcPr>
            <w:tcW w:w="851" w:type="dxa"/>
            <w:vAlign w:val="top"/>
          </w:tcPr>
          <w:p w14:paraId="561DA240">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231.4</w:t>
            </w:r>
          </w:p>
        </w:tc>
        <w:tc>
          <w:tcPr>
            <w:tcW w:w="854" w:type="dxa"/>
            <w:vAlign w:val="top"/>
          </w:tcPr>
          <w:p w14:paraId="43D5FB40">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231.8</w:t>
            </w:r>
          </w:p>
        </w:tc>
        <w:tc>
          <w:tcPr>
            <w:tcW w:w="854" w:type="dxa"/>
            <w:vAlign w:val="top"/>
          </w:tcPr>
          <w:p w14:paraId="3EA32032">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232.2</w:t>
            </w:r>
          </w:p>
        </w:tc>
        <w:tc>
          <w:tcPr>
            <w:tcW w:w="849" w:type="dxa"/>
            <w:vAlign w:val="top"/>
          </w:tcPr>
          <w:p w14:paraId="0E1D09AD">
            <w:pPr>
              <w:keepNext w:val="0"/>
              <w:keepLines w:val="0"/>
              <w:pageBreakBefore w:val="0"/>
              <w:widowControl w:val="0"/>
              <w:kinsoku w:val="0"/>
              <w:wordWrap/>
              <w:overflowPunct/>
              <w:topLinePunct w:val="0"/>
              <w:autoSpaceDE w:val="0"/>
              <w:autoSpaceDN w:val="0"/>
              <w:bidi w:val="0"/>
              <w:adjustRightInd w:val="0"/>
              <w:snapToGrid w:val="0"/>
              <w:spacing w:before="231" w:line="181" w:lineRule="auto"/>
              <w:ind w:left="14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232.6</w:t>
            </w:r>
          </w:p>
        </w:tc>
      </w:tr>
      <w:tr w14:paraId="19AEBB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504" w:type="dxa"/>
            <w:vAlign w:val="top"/>
          </w:tcPr>
          <w:p w14:paraId="38BE0B56">
            <w:pPr>
              <w:keepNext w:val="0"/>
              <w:keepLines w:val="0"/>
              <w:pageBreakBefore w:val="0"/>
              <w:widowControl w:val="0"/>
              <w:kinsoku w:val="0"/>
              <w:wordWrap/>
              <w:overflowPunct/>
              <w:topLinePunct w:val="0"/>
              <w:autoSpaceDE w:val="0"/>
              <w:autoSpaceDN w:val="0"/>
              <w:bidi w:val="0"/>
              <w:adjustRightInd w:val="0"/>
              <w:snapToGrid w:val="0"/>
              <w:spacing w:before="37" w:line="222" w:lineRule="auto"/>
              <w:ind w:left="335" w:right="2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w w:val="95"/>
                <w:kern w:val="0"/>
                <w:sz w:val="24"/>
                <w:szCs w:val="24"/>
                <w:lang w:val="en-US" w:eastAsia="en-US" w:bidi="ar-SA"/>
              </w:rPr>
              <w:t>H</w:t>
            </w:r>
            <w:r>
              <w:rPr>
                <w:rFonts w:ascii="仿宋" w:hAnsi="仿宋" w:eastAsia="仿宋" w:cs="仿宋"/>
                <w:snapToGrid w:val="0"/>
                <w:color w:val="000000"/>
                <w:spacing w:val="-1"/>
                <w:kern w:val="0"/>
                <w:position w:val="-1"/>
                <w:sz w:val="12"/>
                <w:szCs w:val="12"/>
                <w:lang w:val="en-US" w:eastAsia="en-US" w:bidi="ar-SA"/>
              </w:rPr>
              <w:t>b</w:t>
            </w:r>
            <w:r>
              <w:rPr>
                <w:rFonts w:ascii="仿宋" w:hAnsi="仿宋" w:eastAsia="仿宋" w:cs="仿宋"/>
                <w:snapToGrid w:val="0"/>
                <w:color w:val="000000"/>
                <w:spacing w:val="-1"/>
                <w:kern w:val="0"/>
                <w:sz w:val="24"/>
                <w:szCs w:val="24"/>
                <w:lang w:val="en-US" w:eastAsia="en-US" w:bidi="ar-SA"/>
              </w:rPr>
              <w:t>=库水位</w:t>
            </w:r>
            <w:r>
              <w:rPr>
                <w:rFonts w:ascii="仿宋" w:hAnsi="仿宋" w:eastAsia="仿宋" w:cs="仿宋"/>
                <w:snapToGrid w:val="0"/>
                <w:color w:val="000000"/>
                <w:spacing w:val="4"/>
                <w:kern w:val="0"/>
                <w:sz w:val="24"/>
                <w:szCs w:val="24"/>
                <w:lang w:val="en-US" w:eastAsia="en-US" w:bidi="ar-SA"/>
              </w:rPr>
              <w:t xml:space="preserve"> </w:t>
            </w:r>
            <w:r>
              <w:rPr>
                <w:rFonts w:ascii="仿宋" w:hAnsi="仿宋" w:eastAsia="仿宋" w:cs="仿宋"/>
                <w:snapToGrid w:val="0"/>
                <w:color w:val="000000"/>
                <w:spacing w:val="-2"/>
                <w:kern w:val="0"/>
                <w:sz w:val="24"/>
                <w:szCs w:val="24"/>
                <w:lang w:val="en-US" w:eastAsia="en-US" w:bidi="ar-SA"/>
              </w:rPr>
              <w:t>-228.07</w:t>
            </w:r>
          </w:p>
        </w:tc>
        <w:tc>
          <w:tcPr>
            <w:tcW w:w="941" w:type="dxa"/>
            <w:vAlign w:val="top"/>
          </w:tcPr>
          <w:p w14:paraId="1647E7AC">
            <w:pPr>
              <w:keepNext w:val="0"/>
              <w:keepLines w:val="0"/>
              <w:pageBreakBefore w:val="0"/>
              <w:widowControl w:val="0"/>
              <w:kinsoku w:val="0"/>
              <w:wordWrap/>
              <w:overflowPunct/>
              <w:topLinePunct w:val="0"/>
              <w:autoSpaceDE w:val="0"/>
              <w:autoSpaceDN w:val="0"/>
              <w:bidi w:val="0"/>
              <w:adjustRightInd w:val="0"/>
              <w:snapToGrid w:val="0"/>
              <w:spacing w:before="229" w:line="181" w:lineRule="auto"/>
              <w:ind w:left="24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1.58</w:t>
            </w:r>
          </w:p>
        </w:tc>
        <w:tc>
          <w:tcPr>
            <w:tcW w:w="854" w:type="dxa"/>
            <w:vAlign w:val="top"/>
          </w:tcPr>
          <w:p w14:paraId="6F090E2A">
            <w:pPr>
              <w:keepNext w:val="0"/>
              <w:keepLines w:val="0"/>
              <w:pageBreakBefore w:val="0"/>
              <w:widowControl w:val="0"/>
              <w:kinsoku w:val="0"/>
              <w:wordWrap/>
              <w:overflowPunct/>
              <w:topLinePunct w:val="0"/>
              <w:autoSpaceDE w:val="0"/>
              <w:autoSpaceDN w:val="0"/>
              <w:bidi w:val="0"/>
              <w:adjustRightInd w:val="0"/>
              <w:snapToGrid w:val="0"/>
              <w:spacing w:before="229" w:line="181" w:lineRule="auto"/>
              <w:ind w:left="19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2.13</w:t>
            </w:r>
          </w:p>
        </w:tc>
        <w:tc>
          <w:tcPr>
            <w:tcW w:w="854" w:type="dxa"/>
            <w:vAlign w:val="top"/>
          </w:tcPr>
          <w:p w14:paraId="6E5584EC">
            <w:pPr>
              <w:keepNext w:val="0"/>
              <w:keepLines w:val="0"/>
              <w:pageBreakBefore w:val="0"/>
              <w:widowControl w:val="0"/>
              <w:kinsoku w:val="0"/>
              <w:wordWrap/>
              <w:overflowPunct/>
              <w:topLinePunct w:val="0"/>
              <w:autoSpaceDE w:val="0"/>
              <w:autoSpaceDN w:val="0"/>
              <w:bidi w:val="0"/>
              <w:adjustRightInd w:val="0"/>
              <w:snapToGrid w:val="0"/>
              <w:spacing w:before="229" w:line="181" w:lineRule="auto"/>
              <w:ind w:left="20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2.53</w:t>
            </w:r>
          </w:p>
        </w:tc>
        <w:tc>
          <w:tcPr>
            <w:tcW w:w="854" w:type="dxa"/>
            <w:vAlign w:val="top"/>
          </w:tcPr>
          <w:p w14:paraId="5B801F02">
            <w:pPr>
              <w:keepNext w:val="0"/>
              <w:keepLines w:val="0"/>
              <w:pageBreakBefore w:val="0"/>
              <w:widowControl w:val="0"/>
              <w:kinsoku w:val="0"/>
              <w:wordWrap/>
              <w:overflowPunct/>
              <w:topLinePunct w:val="0"/>
              <w:autoSpaceDE w:val="0"/>
              <w:autoSpaceDN w:val="0"/>
              <w:bidi w:val="0"/>
              <w:adjustRightInd w:val="0"/>
              <w:snapToGrid w:val="0"/>
              <w:spacing w:before="229" w:line="181" w:lineRule="auto"/>
              <w:ind w:left="20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2.93</w:t>
            </w:r>
          </w:p>
        </w:tc>
        <w:tc>
          <w:tcPr>
            <w:tcW w:w="851" w:type="dxa"/>
            <w:vAlign w:val="top"/>
          </w:tcPr>
          <w:p w14:paraId="197EBE54">
            <w:pPr>
              <w:keepNext w:val="0"/>
              <w:keepLines w:val="0"/>
              <w:pageBreakBefore w:val="0"/>
              <w:widowControl w:val="0"/>
              <w:kinsoku w:val="0"/>
              <w:wordWrap/>
              <w:overflowPunct/>
              <w:topLinePunct w:val="0"/>
              <w:autoSpaceDE w:val="0"/>
              <w:autoSpaceDN w:val="0"/>
              <w:bidi w:val="0"/>
              <w:adjustRightInd w:val="0"/>
              <w:snapToGrid w:val="0"/>
              <w:spacing w:before="229" w:line="181" w:lineRule="auto"/>
              <w:ind w:left="21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3.33</w:t>
            </w:r>
          </w:p>
        </w:tc>
        <w:tc>
          <w:tcPr>
            <w:tcW w:w="854" w:type="dxa"/>
            <w:vAlign w:val="top"/>
          </w:tcPr>
          <w:p w14:paraId="7F61A3B9">
            <w:pPr>
              <w:keepNext w:val="0"/>
              <w:keepLines w:val="0"/>
              <w:pageBreakBefore w:val="0"/>
              <w:widowControl w:val="0"/>
              <w:kinsoku w:val="0"/>
              <w:wordWrap/>
              <w:overflowPunct/>
              <w:topLinePunct w:val="0"/>
              <w:autoSpaceDE w:val="0"/>
              <w:autoSpaceDN w:val="0"/>
              <w:bidi w:val="0"/>
              <w:adjustRightInd w:val="0"/>
              <w:snapToGrid w:val="0"/>
              <w:spacing w:before="229" w:line="181" w:lineRule="auto"/>
              <w:ind w:left="21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3.73</w:t>
            </w:r>
          </w:p>
        </w:tc>
        <w:tc>
          <w:tcPr>
            <w:tcW w:w="854" w:type="dxa"/>
            <w:vAlign w:val="top"/>
          </w:tcPr>
          <w:p w14:paraId="756DC9D3">
            <w:pPr>
              <w:keepNext w:val="0"/>
              <w:keepLines w:val="0"/>
              <w:pageBreakBefore w:val="0"/>
              <w:widowControl w:val="0"/>
              <w:kinsoku w:val="0"/>
              <w:wordWrap/>
              <w:overflowPunct/>
              <w:topLinePunct w:val="0"/>
              <w:autoSpaceDE w:val="0"/>
              <w:autoSpaceDN w:val="0"/>
              <w:bidi w:val="0"/>
              <w:adjustRightInd w:val="0"/>
              <w:snapToGrid w:val="0"/>
              <w:spacing w:before="229" w:line="181" w:lineRule="auto"/>
              <w:ind w:left="20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4.13</w:t>
            </w:r>
          </w:p>
        </w:tc>
        <w:tc>
          <w:tcPr>
            <w:tcW w:w="849" w:type="dxa"/>
            <w:vAlign w:val="top"/>
          </w:tcPr>
          <w:p w14:paraId="5A25933F">
            <w:pPr>
              <w:keepNext w:val="0"/>
              <w:keepLines w:val="0"/>
              <w:pageBreakBefore w:val="0"/>
              <w:widowControl w:val="0"/>
              <w:kinsoku w:val="0"/>
              <w:wordWrap/>
              <w:overflowPunct/>
              <w:topLinePunct w:val="0"/>
              <w:autoSpaceDE w:val="0"/>
              <w:autoSpaceDN w:val="0"/>
              <w:bidi w:val="0"/>
              <w:adjustRightInd w:val="0"/>
              <w:snapToGrid w:val="0"/>
              <w:spacing w:before="229" w:line="181" w:lineRule="auto"/>
              <w:ind w:left="20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4.53</w:t>
            </w:r>
          </w:p>
        </w:tc>
      </w:tr>
      <w:tr w14:paraId="3D8D47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 w:hRule="atLeast"/>
        </w:trPr>
        <w:tc>
          <w:tcPr>
            <w:tcW w:w="1504" w:type="dxa"/>
            <w:vAlign w:val="top"/>
          </w:tcPr>
          <w:p w14:paraId="77A1E3EA">
            <w:pPr>
              <w:keepNext w:val="0"/>
              <w:keepLines w:val="0"/>
              <w:pageBreakBefore w:val="0"/>
              <w:widowControl w:val="0"/>
              <w:kinsoku w:val="0"/>
              <w:wordWrap/>
              <w:overflowPunct/>
              <w:topLinePunct w:val="0"/>
              <w:autoSpaceDE w:val="0"/>
              <w:autoSpaceDN w:val="0"/>
              <w:bidi w:val="0"/>
              <w:adjustRightInd w:val="0"/>
              <w:snapToGrid w:val="0"/>
              <w:spacing w:before="95" w:line="222" w:lineRule="auto"/>
              <w:ind w:left="69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Q</w:t>
            </w:r>
          </w:p>
        </w:tc>
        <w:tc>
          <w:tcPr>
            <w:tcW w:w="941" w:type="dxa"/>
            <w:vAlign w:val="top"/>
          </w:tcPr>
          <w:p w14:paraId="5938F31E">
            <w:pPr>
              <w:keepNext w:val="0"/>
              <w:keepLines w:val="0"/>
              <w:pageBreakBefore w:val="0"/>
              <w:widowControl w:val="0"/>
              <w:kinsoku w:val="0"/>
              <w:wordWrap/>
              <w:overflowPunct/>
              <w:topLinePunct w:val="0"/>
              <w:autoSpaceDE w:val="0"/>
              <w:autoSpaceDN w:val="0"/>
              <w:bidi w:val="0"/>
              <w:adjustRightInd w:val="0"/>
              <w:snapToGrid w:val="0"/>
              <w:spacing w:before="130" w:line="181" w:lineRule="auto"/>
              <w:ind w:left="24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1.62</w:t>
            </w:r>
          </w:p>
        </w:tc>
        <w:tc>
          <w:tcPr>
            <w:tcW w:w="854" w:type="dxa"/>
            <w:vAlign w:val="top"/>
          </w:tcPr>
          <w:p w14:paraId="22B5DA70">
            <w:pPr>
              <w:keepNext w:val="0"/>
              <w:keepLines w:val="0"/>
              <w:pageBreakBefore w:val="0"/>
              <w:widowControl w:val="0"/>
              <w:kinsoku w:val="0"/>
              <w:wordWrap/>
              <w:overflowPunct/>
              <w:topLinePunct w:val="0"/>
              <w:autoSpaceDE w:val="0"/>
              <w:autoSpaceDN w:val="0"/>
              <w:bidi w:val="0"/>
              <w:adjustRightInd w:val="0"/>
              <w:snapToGrid w:val="0"/>
              <w:spacing w:before="130" w:line="181" w:lineRule="auto"/>
              <w:ind w:left="20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1.89</w:t>
            </w:r>
          </w:p>
        </w:tc>
        <w:tc>
          <w:tcPr>
            <w:tcW w:w="854" w:type="dxa"/>
            <w:vAlign w:val="top"/>
          </w:tcPr>
          <w:p w14:paraId="5D58D474">
            <w:pPr>
              <w:keepNext w:val="0"/>
              <w:keepLines w:val="0"/>
              <w:pageBreakBefore w:val="0"/>
              <w:widowControl w:val="0"/>
              <w:kinsoku w:val="0"/>
              <w:wordWrap/>
              <w:overflowPunct/>
              <w:topLinePunct w:val="0"/>
              <w:autoSpaceDE w:val="0"/>
              <w:autoSpaceDN w:val="0"/>
              <w:bidi w:val="0"/>
              <w:adjustRightInd w:val="0"/>
              <w:snapToGrid w:val="0"/>
              <w:spacing w:before="130" w:line="181" w:lineRule="auto"/>
              <w:ind w:left="20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2.05</w:t>
            </w:r>
          </w:p>
        </w:tc>
        <w:tc>
          <w:tcPr>
            <w:tcW w:w="854" w:type="dxa"/>
            <w:vAlign w:val="top"/>
          </w:tcPr>
          <w:p w14:paraId="089C6DB4">
            <w:pPr>
              <w:keepNext w:val="0"/>
              <w:keepLines w:val="0"/>
              <w:pageBreakBefore w:val="0"/>
              <w:widowControl w:val="0"/>
              <w:kinsoku w:val="0"/>
              <w:wordWrap/>
              <w:overflowPunct/>
              <w:topLinePunct w:val="0"/>
              <w:autoSpaceDE w:val="0"/>
              <w:autoSpaceDN w:val="0"/>
              <w:bidi w:val="0"/>
              <w:adjustRightInd w:val="0"/>
              <w:snapToGrid w:val="0"/>
              <w:spacing w:before="130" w:line="181" w:lineRule="auto"/>
              <w:ind w:left="20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2.21</w:t>
            </w:r>
          </w:p>
        </w:tc>
        <w:tc>
          <w:tcPr>
            <w:tcW w:w="851" w:type="dxa"/>
            <w:vAlign w:val="top"/>
          </w:tcPr>
          <w:p w14:paraId="6724B1B2">
            <w:pPr>
              <w:keepNext w:val="0"/>
              <w:keepLines w:val="0"/>
              <w:pageBreakBefore w:val="0"/>
              <w:widowControl w:val="0"/>
              <w:kinsoku w:val="0"/>
              <w:wordWrap/>
              <w:overflowPunct/>
              <w:topLinePunct w:val="0"/>
              <w:autoSpaceDE w:val="0"/>
              <w:autoSpaceDN w:val="0"/>
              <w:bidi w:val="0"/>
              <w:adjustRightInd w:val="0"/>
              <w:snapToGrid w:val="0"/>
              <w:spacing w:before="130" w:line="181" w:lineRule="auto"/>
              <w:ind w:left="20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2.36</w:t>
            </w:r>
          </w:p>
        </w:tc>
        <w:tc>
          <w:tcPr>
            <w:tcW w:w="854" w:type="dxa"/>
            <w:vAlign w:val="top"/>
          </w:tcPr>
          <w:p w14:paraId="2474F5BD">
            <w:pPr>
              <w:keepNext w:val="0"/>
              <w:keepLines w:val="0"/>
              <w:pageBreakBefore w:val="0"/>
              <w:widowControl w:val="0"/>
              <w:kinsoku w:val="0"/>
              <w:wordWrap/>
              <w:overflowPunct/>
              <w:topLinePunct w:val="0"/>
              <w:autoSpaceDE w:val="0"/>
              <w:autoSpaceDN w:val="0"/>
              <w:bidi w:val="0"/>
              <w:adjustRightInd w:val="0"/>
              <w:snapToGrid w:val="0"/>
              <w:spacing w:before="130" w:line="181" w:lineRule="auto"/>
              <w:ind w:left="20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2.50</w:t>
            </w:r>
          </w:p>
        </w:tc>
        <w:tc>
          <w:tcPr>
            <w:tcW w:w="854" w:type="dxa"/>
            <w:vAlign w:val="top"/>
          </w:tcPr>
          <w:p w14:paraId="05D2E39D">
            <w:pPr>
              <w:keepNext w:val="0"/>
              <w:keepLines w:val="0"/>
              <w:pageBreakBefore w:val="0"/>
              <w:widowControl w:val="0"/>
              <w:kinsoku w:val="0"/>
              <w:wordWrap/>
              <w:overflowPunct/>
              <w:topLinePunct w:val="0"/>
              <w:autoSpaceDE w:val="0"/>
              <w:autoSpaceDN w:val="0"/>
              <w:bidi w:val="0"/>
              <w:adjustRightInd w:val="0"/>
              <w:snapToGrid w:val="0"/>
              <w:spacing w:before="130" w:line="181" w:lineRule="auto"/>
              <w:ind w:left="20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2.63</w:t>
            </w:r>
          </w:p>
        </w:tc>
        <w:tc>
          <w:tcPr>
            <w:tcW w:w="849" w:type="dxa"/>
            <w:vAlign w:val="top"/>
          </w:tcPr>
          <w:p w14:paraId="6ED2B47F">
            <w:pPr>
              <w:keepNext w:val="0"/>
              <w:keepLines w:val="0"/>
              <w:pageBreakBefore w:val="0"/>
              <w:widowControl w:val="0"/>
              <w:kinsoku w:val="0"/>
              <w:wordWrap/>
              <w:overflowPunct/>
              <w:topLinePunct w:val="0"/>
              <w:autoSpaceDE w:val="0"/>
              <w:autoSpaceDN w:val="0"/>
              <w:bidi w:val="0"/>
              <w:adjustRightInd w:val="0"/>
              <w:snapToGrid w:val="0"/>
              <w:spacing w:before="130" w:line="181" w:lineRule="auto"/>
              <w:ind w:left="20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2.75</w:t>
            </w:r>
          </w:p>
        </w:tc>
      </w:tr>
    </w:tbl>
    <w:p w14:paraId="7C2CC7E5">
      <w:pPr>
        <w:numPr>
          <w:ilvl w:val="0"/>
          <w:numId w:val="0"/>
        </w:numPr>
        <w:bidi w:val="0"/>
        <w:ind w:firstLine="560" w:firstLineChars="200"/>
        <w:rPr>
          <w:rFonts w:hint="default" w:ascii="Times New Roman" w:hAnsi="Times New Roman" w:cs="Times New Roman"/>
        </w:rPr>
      </w:pPr>
      <w:r>
        <w:rPr>
          <w:rFonts w:hint="default" w:ascii="Times New Roman" w:hAnsi="Times New Roman" w:eastAsia="宋体" w:cs="Times New Roman"/>
          <w:kern w:val="2"/>
          <w:sz w:val="28"/>
          <w:szCs w:val="24"/>
          <w:lang w:val="en-US" w:eastAsia="zh-CN" w:bidi="ar-SA"/>
        </w:rPr>
        <w:t>8.</w:t>
      </w:r>
      <w:r>
        <w:rPr>
          <w:rFonts w:hint="default" w:ascii="Times New Roman" w:hAnsi="Times New Roman" w:cs="Times New Roman"/>
        </w:rPr>
        <w:t>坝肩溢洪道泄流能力计算</w:t>
      </w:r>
    </w:p>
    <w:p w14:paraId="58E62BD1">
      <w:pPr>
        <w:bidi w:val="0"/>
        <w:rPr>
          <w:rFonts w:hint="default" w:ascii="Times New Roman" w:hAnsi="Times New Roman" w:cs="Times New Roman"/>
        </w:rPr>
      </w:pPr>
      <w:r>
        <w:rPr>
          <w:rFonts w:hint="default" w:ascii="Times New Roman" w:hAnsi="Times New Roman" w:cs="Times New Roman"/>
        </w:rPr>
        <w:t>根据堰流流量计算公式</w:t>
      </w:r>
      <w:r>
        <w:rPr>
          <w:rFonts w:hint="default" w:ascii="Times New Roman" w:hAnsi="Times New Roman" w:eastAsia="Cambria Math" w:cs="Times New Roman"/>
        </w:rPr>
        <w:t>Q</w:t>
      </w:r>
      <w:r>
        <w:rPr>
          <w:rFonts w:hint="default" w:ascii="Times New Roman" w:hAnsi="Times New Roman" w:eastAsia="Cambria Math" w:cs="Times New Roman"/>
          <w:spacing w:val="40"/>
        </w:rPr>
        <w:t xml:space="preserve"> </w:t>
      </w:r>
      <w:r>
        <w:rPr>
          <w:rFonts w:hint="default" w:ascii="Times New Roman" w:hAnsi="Times New Roman" w:eastAsia="Cambria Math" w:cs="Times New Roman"/>
        </w:rPr>
        <w:t>=</w:t>
      </w:r>
      <w:r>
        <w:rPr>
          <w:rFonts w:hint="default" w:ascii="Times New Roman" w:hAnsi="Times New Roman" w:eastAsia="Cambria Math" w:cs="Times New Roman"/>
          <w:spacing w:val="20"/>
          <w:w w:val="101"/>
        </w:rPr>
        <w:t xml:space="preserve"> </w:t>
      </w:r>
      <w:r>
        <w:rPr>
          <w:rFonts w:hint="default" w:ascii="Times New Roman" w:hAnsi="Times New Roman" w:cs="Times New Roman"/>
        </w:rPr>
        <w:t>ε</w:t>
      </w:r>
      <w:r>
        <w:rPr>
          <w:rFonts w:hint="default" w:ascii="Times New Roman" w:hAnsi="Times New Roman" w:eastAsia="Cambria Math" w:cs="Times New Roman"/>
        </w:rPr>
        <w:t>mB</w:t>
      </w:r>
      <w:r>
        <w:rPr>
          <w:rFonts w:hint="default" w:ascii="Times New Roman" w:hAnsi="Times New Roman" w:eastAsia="Cambria Math" w:cs="Times New Roman"/>
          <w:position w:val="-1"/>
        </w:rPr>
        <w:t>√</w:t>
      </w:r>
      <w:r>
        <w:rPr>
          <w:rFonts w:hint="default" w:ascii="Times New Roman" w:hAnsi="Times New Roman" w:eastAsia="Cambria Math" w:cs="Times New Roman"/>
        </w:rPr>
        <w:t>2gH</w:t>
      </w:r>
      <w:r>
        <w:rPr>
          <w:rFonts w:hint="default" w:ascii="Times New Roman" w:hAnsi="Times New Roman" w:cs="Times New Roman"/>
        </w:rPr>
        <w:fldChar w:fldCharType="begin"/>
      </w:r>
      <w:r>
        <w:rPr>
          <w:rFonts w:hint="default" w:ascii="Times New Roman" w:hAnsi="Times New Roman" w:cs="Times New Roman"/>
        </w:rPr>
        <w:instrText xml:space="preserve">EQ \* jc3 \* hps19 \o\al(\s\up 5(</w:instrText>
      </w:r>
      <w:r>
        <w:rPr>
          <w:rFonts w:hint="default" w:ascii="Times New Roman" w:hAnsi="Times New Roman" w:eastAsia="Cambria Math" w:cs="Times New Roman"/>
          <w:w w:val="113"/>
          <w:sz w:val="19"/>
          <w:szCs w:val="19"/>
        </w:rPr>
        <w:instrText xml:space="preserve">1</w:instrText>
      </w:r>
      <w:r>
        <w:rPr>
          <w:rFonts w:hint="default" w:ascii="Times New Roman" w:hAnsi="Times New Roman" w:cs="Times New Roman"/>
        </w:rPr>
        <w:instrText xml:space="preserve">),</w:instrText>
      </w:r>
      <w:r>
        <w:rPr>
          <w:rFonts w:hint="default" w:ascii="Times New Roman" w:hAnsi="Times New Roman" w:eastAsia="Cambria Math" w:cs="Times New Roman"/>
          <w:w w:val="108"/>
          <w:position w:val="-6"/>
          <w:sz w:val="19"/>
          <w:szCs w:val="19"/>
        </w:rPr>
        <w:instrText xml:space="preserve">0</w:instrText>
      </w:r>
      <w:r>
        <w:rPr>
          <w:rFonts w:hint="default" w:ascii="Times New Roman" w:hAnsi="Times New Roman" w:cs="Times New Roman"/>
        </w:rPr>
        <w:instrText xml:space="preserve">)</w:instrText>
      </w:r>
      <w:r>
        <w:rPr>
          <w:rFonts w:hint="default" w:ascii="Times New Roman" w:hAnsi="Times New Roman" w:cs="Times New Roman"/>
        </w:rPr>
        <w:fldChar w:fldCharType="end"/>
      </w:r>
      <w:r>
        <w:rPr>
          <w:rFonts w:hint="default" w:ascii="Times New Roman" w:hAnsi="Times New Roman" w:eastAsia="Cambria Math" w:cs="Times New Roman"/>
          <w:position w:val="10"/>
          <w:sz w:val="19"/>
          <w:szCs w:val="19"/>
        </w:rPr>
        <w:t>.5</w:t>
      </w:r>
      <w:r>
        <w:rPr>
          <w:rFonts w:hint="default" w:ascii="Times New Roman" w:hAnsi="Times New Roman" w:cs="Times New Roman"/>
        </w:rPr>
        <w:t xml:space="preserve">计算现状右坝肩溢洪道进水口泄流量（考虑 2m/s行近流速）见表 </w:t>
      </w:r>
      <w:r>
        <w:rPr>
          <w:rFonts w:hint="default" w:ascii="Times New Roman" w:hAnsi="Times New Roman" w:cs="Times New Roman"/>
          <w:lang w:val="en-US" w:eastAsia="zh-CN"/>
        </w:rPr>
        <w:t>5.3.2-8</w:t>
      </w:r>
      <w:r>
        <w:rPr>
          <w:rFonts w:hint="default" w:ascii="Times New Roman" w:hAnsi="Times New Roman" w:cs="Times New Roman"/>
        </w:rPr>
        <w:t>。</w:t>
      </w:r>
    </w:p>
    <w:p w14:paraId="3230AC0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表</w:t>
      </w:r>
      <w:r>
        <w:rPr>
          <w:rFonts w:hint="eastAsia" w:ascii="Times New Roman" w:hAnsi="Times New Roman" w:cs="Times New Roman"/>
          <w:lang w:val="en-US" w:eastAsia="zh-CN"/>
        </w:rPr>
        <w:t>5.3.2-8</w:t>
      </w:r>
      <w:r>
        <w:rPr>
          <w:rFonts w:hint="default" w:ascii="Times New Roman" w:hAnsi="Times New Roman" w:cs="Times New Roman"/>
        </w:rPr>
        <w:t>现状右岸溢洪道进水口泄流量计算表</w:t>
      </w:r>
    </w:p>
    <w:tbl>
      <w:tblPr>
        <w:tblStyle w:val="27"/>
        <w:tblW w:w="84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71"/>
        <w:gridCol w:w="1272"/>
        <w:gridCol w:w="1271"/>
        <w:gridCol w:w="1660"/>
        <w:gridCol w:w="1272"/>
        <w:gridCol w:w="1269"/>
      </w:tblGrid>
      <w:tr w14:paraId="29DDE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671" w:type="dxa"/>
            <w:vAlign w:val="top"/>
          </w:tcPr>
          <w:p w14:paraId="1009CDC2">
            <w:pPr>
              <w:keepNext w:val="0"/>
              <w:keepLines w:val="0"/>
              <w:pageBreakBefore w:val="0"/>
              <w:widowControl w:val="0"/>
              <w:kinsoku w:val="0"/>
              <w:wordWrap/>
              <w:overflowPunct/>
              <w:topLinePunct w:val="0"/>
              <w:autoSpaceDE w:val="0"/>
              <w:autoSpaceDN w:val="0"/>
              <w:bidi w:val="0"/>
              <w:adjustRightInd w:val="0"/>
              <w:snapToGrid w:val="0"/>
              <w:spacing w:before="197" w:line="217" w:lineRule="auto"/>
              <w:ind w:left="18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水位高程</w:t>
            </w:r>
            <w:r>
              <w:rPr>
                <w:rFonts w:ascii="仿宋" w:hAnsi="仿宋" w:eastAsia="仿宋" w:cs="仿宋"/>
                <w:snapToGrid w:val="0"/>
                <w:color w:val="000000"/>
                <w:spacing w:val="-61"/>
                <w:kern w:val="0"/>
                <w:sz w:val="24"/>
                <w:szCs w:val="24"/>
                <w:lang w:val="en-US" w:eastAsia="en-US" w:bidi="ar-SA"/>
              </w:rPr>
              <w:t xml:space="preserve"> </w:t>
            </w:r>
            <w:r>
              <w:rPr>
                <w:rFonts w:ascii="仿宋" w:hAnsi="仿宋" w:eastAsia="仿宋" w:cs="仿宋"/>
                <w:snapToGrid w:val="0"/>
                <w:color w:val="000000"/>
                <w:spacing w:val="-7"/>
                <w:kern w:val="0"/>
                <w:sz w:val="24"/>
                <w:szCs w:val="24"/>
                <w:lang w:val="en-US" w:eastAsia="en-US" w:bidi="ar-SA"/>
              </w:rPr>
              <w:t>(m)</w:t>
            </w:r>
          </w:p>
        </w:tc>
        <w:tc>
          <w:tcPr>
            <w:tcW w:w="1272" w:type="dxa"/>
            <w:vAlign w:val="top"/>
          </w:tcPr>
          <w:p w14:paraId="502F7224">
            <w:pPr>
              <w:keepNext w:val="0"/>
              <w:keepLines w:val="0"/>
              <w:pageBreakBefore w:val="0"/>
              <w:widowControl w:val="0"/>
              <w:kinsoku w:val="0"/>
              <w:wordWrap/>
              <w:overflowPunct/>
              <w:topLinePunct w:val="0"/>
              <w:autoSpaceDE w:val="0"/>
              <w:autoSpaceDN w:val="0"/>
              <w:bidi w:val="0"/>
              <w:adjustRightInd w:val="0"/>
              <w:snapToGrid w:val="0"/>
              <w:spacing w:before="40" w:line="224" w:lineRule="auto"/>
              <w:ind w:left="253" w:right="15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泄流水深</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4"/>
                <w:w w:val="93"/>
                <w:kern w:val="0"/>
                <w:sz w:val="24"/>
                <w:szCs w:val="24"/>
                <w:lang w:val="en-US" w:eastAsia="en-US" w:bidi="ar-SA"/>
              </w:rPr>
              <w:t>H</w:t>
            </w:r>
            <w:r>
              <w:rPr>
                <w:rFonts w:ascii="仿宋" w:hAnsi="仿宋" w:eastAsia="仿宋" w:cs="仿宋"/>
                <w:snapToGrid w:val="0"/>
                <w:color w:val="000000"/>
                <w:kern w:val="0"/>
                <w:position w:val="-1"/>
                <w:sz w:val="12"/>
                <w:szCs w:val="12"/>
                <w:lang w:val="en-US" w:eastAsia="en-US" w:bidi="ar-SA"/>
              </w:rPr>
              <w:t>0</w:t>
            </w:r>
            <w:r>
              <w:rPr>
                <w:rFonts w:ascii="仿宋" w:hAnsi="仿宋" w:eastAsia="仿宋" w:cs="仿宋"/>
                <w:snapToGrid w:val="0"/>
                <w:color w:val="000000"/>
                <w:kern w:val="0"/>
                <w:sz w:val="24"/>
                <w:szCs w:val="24"/>
                <w:lang w:val="en-US" w:eastAsia="en-US" w:bidi="ar-SA"/>
              </w:rPr>
              <w:t>（m）</w:t>
            </w:r>
          </w:p>
        </w:tc>
        <w:tc>
          <w:tcPr>
            <w:tcW w:w="1271" w:type="dxa"/>
            <w:vAlign w:val="top"/>
          </w:tcPr>
          <w:p w14:paraId="1A662B16">
            <w:pPr>
              <w:keepNext w:val="0"/>
              <w:keepLines w:val="0"/>
              <w:pageBreakBefore w:val="0"/>
              <w:widowControl w:val="0"/>
              <w:kinsoku w:val="0"/>
              <w:wordWrap/>
              <w:overflowPunct/>
              <w:topLinePunct w:val="0"/>
              <w:autoSpaceDE w:val="0"/>
              <w:autoSpaceDN w:val="0"/>
              <w:bidi w:val="0"/>
              <w:adjustRightInd w:val="0"/>
              <w:snapToGrid w:val="0"/>
              <w:spacing w:before="40" w:line="224" w:lineRule="auto"/>
              <w:ind w:left="253" w:right="24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泄流量</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2"/>
                <w:kern w:val="0"/>
                <w:sz w:val="24"/>
                <w:szCs w:val="24"/>
                <w:lang w:val="en-US" w:eastAsia="en-US" w:bidi="ar-SA"/>
              </w:rPr>
              <w:t>Q(m</w:t>
            </w:r>
            <w:r>
              <w:rPr>
                <w:rFonts w:ascii="仿宋" w:hAnsi="仿宋" w:eastAsia="仿宋" w:cs="仿宋"/>
                <w:snapToGrid w:val="0"/>
                <w:color w:val="000000"/>
                <w:spacing w:val="-2"/>
                <w:kern w:val="0"/>
                <w:position w:val="11"/>
                <w:sz w:val="12"/>
                <w:szCs w:val="12"/>
                <w:lang w:val="en-US" w:eastAsia="en-US" w:bidi="ar-SA"/>
              </w:rPr>
              <w:t>3</w:t>
            </w:r>
            <w:r>
              <w:rPr>
                <w:rFonts w:ascii="仿宋" w:hAnsi="仿宋" w:eastAsia="仿宋" w:cs="仿宋"/>
                <w:snapToGrid w:val="0"/>
                <w:color w:val="000000"/>
                <w:spacing w:val="-2"/>
                <w:kern w:val="0"/>
                <w:sz w:val="24"/>
                <w:szCs w:val="24"/>
                <w:lang w:val="en-US" w:eastAsia="en-US" w:bidi="ar-SA"/>
              </w:rPr>
              <w:t>/s)</w:t>
            </w:r>
          </w:p>
        </w:tc>
        <w:tc>
          <w:tcPr>
            <w:tcW w:w="1660" w:type="dxa"/>
            <w:vAlign w:val="top"/>
          </w:tcPr>
          <w:p w14:paraId="1B55E90C">
            <w:pPr>
              <w:keepNext w:val="0"/>
              <w:keepLines w:val="0"/>
              <w:pageBreakBefore w:val="0"/>
              <w:widowControl w:val="0"/>
              <w:kinsoku w:val="0"/>
              <w:wordWrap/>
              <w:overflowPunct/>
              <w:topLinePunct w:val="0"/>
              <w:autoSpaceDE w:val="0"/>
              <w:autoSpaceDN w:val="0"/>
              <w:bidi w:val="0"/>
              <w:adjustRightInd w:val="0"/>
              <w:snapToGrid w:val="0"/>
              <w:spacing w:before="197" w:line="217" w:lineRule="auto"/>
              <w:ind w:left="1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水位高程</w:t>
            </w:r>
            <w:r>
              <w:rPr>
                <w:rFonts w:ascii="仿宋" w:hAnsi="仿宋" w:eastAsia="仿宋" w:cs="仿宋"/>
                <w:snapToGrid w:val="0"/>
                <w:color w:val="000000"/>
                <w:spacing w:val="-60"/>
                <w:kern w:val="0"/>
                <w:sz w:val="24"/>
                <w:szCs w:val="24"/>
                <w:lang w:val="en-US" w:eastAsia="en-US" w:bidi="ar-SA"/>
              </w:rPr>
              <w:t xml:space="preserve"> </w:t>
            </w:r>
            <w:r>
              <w:rPr>
                <w:rFonts w:ascii="仿宋" w:hAnsi="仿宋" w:eastAsia="仿宋" w:cs="仿宋"/>
                <w:snapToGrid w:val="0"/>
                <w:color w:val="000000"/>
                <w:spacing w:val="-7"/>
                <w:kern w:val="0"/>
                <w:sz w:val="24"/>
                <w:szCs w:val="24"/>
                <w:lang w:val="en-US" w:eastAsia="en-US" w:bidi="ar-SA"/>
              </w:rPr>
              <w:t>(m)</w:t>
            </w:r>
          </w:p>
        </w:tc>
        <w:tc>
          <w:tcPr>
            <w:tcW w:w="1272" w:type="dxa"/>
            <w:vAlign w:val="top"/>
          </w:tcPr>
          <w:p w14:paraId="1F948EF0">
            <w:pPr>
              <w:keepNext w:val="0"/>
              <w:keepLines w:val="0"/>
              <w:pageBreakBefore w:val="0"/>
              <w:widowControl w:val="0"/>
              <w:kinsoku w:val="0"/>
              <w:wordWrap/>
              <w:overflowPunct/>
              <w:topLinePunct w:val="0"/>
              <w:autoSpaceDE w:val="0"/>
              <w:autoSpaceDN w:val="0"/>
              <w:bidi w:val="0"/>
              <w:adjustRightInd w:val="0"/>
              <w:snapToGrid w:val="0"/>
              <w:spacing w:before="40" w:line="224" w:lineRule="auto"/>
              <w:ind w:left="256" w:right="1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泄流水深</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4"/>
                <w:w w:val="93"/>
                <w:kern w:val="0"/>
                <w:sz w:val="24"/>
                <w:szCs w:val="24"/>
                <w:lang w:val="en-US" w:eastAsia="en-US" w:bidi="ar-SA"/>
              </w:rPr>
              <w:t>H</w:t>
            </w:r>
            <w:r>
              <w:rPr>
                <w:rFonts w:ascii="仿宋" w:hAnsi="仿宋" w:eastAsia="仿宋" w:cs="仿宋"/>
                <w:snapToGrid w:val="0"/>
                <w:color w:val="000000"/>
                <w:kern w:val="0"/>
                <w:position w:val="-1"/>
                <w:sz w:val="12"/>
                <w:szCs w:val="12"/>
                <w:lang w:val="en-US" w:eastAsia="en-US" w:bidi="ar-SA"/>
              </w:rPr>
              <w:t>0</w:t>
            </w:r>
            <w:r>
              <w:rPr>
                <w:rFonts w:ascii="仿宋" w:hAnsi="仿宋" w:eastAsia="仿宋" w:cs="仿宋"/>
                <w:snapToGrid w:val="0"/>
                <w:color w:val="000000"/>
                <w:kern w:val="0"/>
                <w:sz w:val="24"/>
                <w:szCs w:val="24"/>
                <w:lang w:val="en-US" w:eastAsia="en-US" w:bidi="ar-SA"/>
              </w:rPr>
              <w:t>（m）</w:t>
            </w:r>
          </w:p>
        </w:tc>
        <w:tc>
          <w:tcPr>
            <w:tcW w:w="1269" w:type="dxa"/>
            <w:vAlign w:val="top"/>
          </w:tcPr>
          <w:p w14:paraId="35C1AF15">
            <w:pPr>
              <w:keepNext w:val="0"/>
              <w:keepLines w:val="0"/>
              <w:pageBreakBefore w:val="0"/>
              <w:widowControl w:val="0"/>
              <w:kinsoku w:val="0"/>
              <w:wordWrap/>
              <w:overflowPunct/>
              <w:topLinePunct w:val="0"/>
              <w:autoSpaceDE w:val="0"/>
              <w:autoSpaceDN w:val="0"/>
              <w:bidi w:val="0"/>
              <w:adjustRightInd w:val="0"/>
              <w:snapToGrid w:val="0"/>
              <w:spacing w:before="40" w:line="224" w:lineRule="auto"/>
              <w:ind w:left="251" w:right="24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泄流量</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2"/>
                <w:kern w:val="0"/>
                <w:sz w:val="24"/>
                <w:szCs w:val="24"/>
                <w:lang w:val="en-US" w:eastAsia="en-US" w:bidi="ar-SA"/>
              </w:rPr>
              <w:t>Q(m</w:t>
            </w:r>
            <w:r>
              <w:rPr>
                <w:rFonts w:ascii="仿宋" w:hAnsi="仿宋" w:eastAsia="仿宋" w:cs="仿宋"/>
                <w:snapToGrid w:val="0"/>
                <w:color w:val="000000"/>
                <w:spacing w:val="-2"/>
                <w:kern w:val="0"/>
                <w:position w:val="11"/>
                <w:sz w:val="12"/>
                <w:szCs w:val="12"/>
                <w:lang w:val="en-US" w:eastAsia="en-US" w:bidi="ar-SA"/>
              </w:rPr>
              <w:t>3</w:t>
            </w:r>
            <w:r>
              <w:rPr>
                <w:rFonts w:ascii="仿宋" w:hAnsi="仿宋" w:eastAsia="仿宋" w:cs="仿宋"/>
                <w:snapToGrid w:val="0"/>
                <w:color w:val="000000"/>
                <w:spacing w:val="-2"/>
                <w:kern w:val="0"/>
                <w:sz w:val="24"/>
                <w:szCs w:val="24"/>
                <w:lang w:val="en-US" w:eastAsia="en-US" w:bidi="ar-SA"/>
              </w:rPr>
              <w:t>/s)</w:t>
            </w:r>
          </w:p>
        </w:tc>
      </w:tr>
      <w:tr w14:paraId="62CF0B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40A038CE">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231.1</w:t>
            </w:r>
          </w:p>
        </w:tc>
        <w:tc>
          <w:tcPr>
            <w:tcW w:w="1272" w:type="dxa"/>
            <w:vAlign w:val="top"/>
          </w:tcPr>
          <w:p w14:paraId="2322A4A6">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0.1</w:t>
            </w:r>
          </w:p>
        </w:tc>
        <w:tc>
          <w:tcPr>
            <w:tcW w:w="1271" w:type="dxa"/>
            <w:vAlign w:val="top"/>
          </w:tcPr>
          <w:p w14:paraId="2C91D9CC">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4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1.60</w:t>
            </w:r>
          </w:p>
        </w:tc>
        <w:tc>
          <w:tcPr>
            <w:tcW w:w="1660" w:type="dxa"/>
            <w:vAlign w:val="top"/>
          </w:tcPr>
          <w:p w14:paraId="5D2BE7E2">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232.0</w:t>
            </w:r>
          </w:p>
        </w:tc>
        <w:tc>
          <w:tcPr>
            <w:tcW w:w="1272" w:type="dxa"/>
            <w:vAlign w:val="top"/>
          </w:tcPr>
          <w:p w14:paraId="2278DCEC">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9"/>
                <w:kern w:val="0"/>
                <w:sz w:val="24"/>
                <w:szCs w:val="24"/>
                <w:lang w:val="en-US" w:eastAsia="en-US" w:bidi="ar-SA"/>
              </w:rPr>
              <w:t>1.0</w:t>
            </w:r>
          </w:p>
        </w:tc>
        <w:tc>
          <w:tcPr>
            <w:tcW w:w="1269" w:type="dxa"/>
            <w:vAlign w:val="top"/>
          </w:tcPr>
          <w:p w14:paraId="2639F5FD">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12.64</w:t>
            </w:r>
          </w:p>
        </w:tc>
      </w:tr>
      <w:tr w14:paraId="78C1B7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15755F27">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231.2</w:t>
            </w:r>
          </w:p>
        </w:tc>
        <w:tc>
          <w:tcPr>
            <w:tcW w:w="1272" w:type="dxa"/>
            <w:vAlign w:val="top"/>
          </w:tcPr>
          <w:p w14:paraId="06521CA9">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0.2</w:t>
            </w:r>
          </w:p>
        </w:tc>
        <w:tc>
          <w:tcPr>
            <w:tcW w:w="1271" w:type="dxa"/>
            <w:vAlign w:val="top"/>
          </w:tcPr>
          <w:p w14:paraId="1AC4661B">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1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2.46</w:t>
            </w:r>
          </w:p>
        </w:tc>
        <w:tc>
          <w:tcPr>
            <w:tcW w:w="1660" w:type="dxa"/>
            <w:vAlign w:val="top"/>
          </w:tcPr>
          <w:p w14:paraId="6551C1C6">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232.1</w:t>
            </w:r>
          </w:p>
        </w:tc>
        <w:tc>
          <w:tcPr>
            <w:tcW w:w="1272" w:type="dxa"/>
            <w:vAlign w:val="top"/>
          </w:tcPr>
          <w:p w14:paraId="12648731">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1.1</w:t>
            </w:r>
          </w:p>
        </w:tc>
        <w:tc>
          <w:tcPr>
            <w:tcW w:w="1269" w:type="dxa"/>
            <w:vAlign w:val="top"/>
          </w:tcPr>
          <w:p w14:paraId="67606D63">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14.24</w:t>
            </w:r>
          </w:p>
        </w:tc>
      </w:tr>
      <w:tr w14:paraId="063726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1562173B">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231.3</w:t>
            </w:r>
          </w:p>
        </w:tc>
        <w:tc>
          <w:tcPr>
            <w:tcW w:w="1272" w:type="dxa"/>
            <w:vAlign w:val="top"/>
          </w:tcPr>
          <w:p w14:paraId="3DFF6D44">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0.3</w:t>
            </w:r>
          </w:p>
        </w:tc>
        <w:tc>
          <w:tcPr>
            <w:tcW w:w="1271" w:type="dxa"/>
            <w:vAlign w:val="top"/>
          </w:tcPr>
          <w:p w14:paraId="6CA318E0">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42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3.42</w:t>
            </w:r>
          </w:p>
        </w:tc>
        <w:tc>
          <w:tcPr>
            <w:tcW w:w="1660" w:type="dxa"/>
            <w:vAlign w:val="top"/>
          </w:tcPr>
          <w:p w14:paraId="68A9BA7D">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232.2</w:t>
            </w:r>
          </w:p>
        </w:tc>
        <w:tc>
          <w:tcPr>
            <w:tcW w:w="1272" w:type="dxa"/>
            <w:vAlign w:val="top"/>
          </w:tcPr>
          <w:p w14:paraId="54BC4CFD">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1.2</w:t>
            </w:r>
          </w:p>
        </w:tc>
        <w:tc>
          <w:tcPr>
            <w:tcW w:w="1269" w:type="dxa"/>
            <w:vAlign w:val="top"/>
          </w:tcPr>
          <w:p w14:paraId="0673D391">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15.91</w:t>
            </w:r>
          </w:p>
        </w:tc>
      </w:tr>
      <w:tr w14:paraId="0AB583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71" w:type="dxa"/>
            <w:vAlign w:val="top"/>
          </w:tcPr>
          <w:p w14:paraId="55F9D54E">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231.4</w:t>
            </w:r>
          </w:p>
        </w:tc>
        <w:tc>
          <w:tcPr>
            <w:tcW w:w="1272" w:type="dxa"/>
            <w:vAlign w:val="top"/>
          </w:tcPr>
          <w:p w14:paraId="18FAF42B">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0.4</w:t>
            </w:r>
          </w:p>
        </w:tc>
        <w:tc>
          <w:tcPr>
            <w:tcW w:w="1271" w:type="dxa"/>
            <w:vAlign w:val="top"/>
          </w:tcPr>
          <w:p w14:paraId="620F046A">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1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4.49</w:t>
            </w:r>
          </w:p>
        </w:tc>
        <w:tc>
          <w:tcPr>
            <w:tcW w:w="1660" w:type="dxa"/>
            <w:vAlign w:val="top"/>
          </w:tcPr>
          <w:p w14:paraId="2A3D6D0B">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232.3</w:t>
            </w:r>
          </w:p>
        </w:tc>
        <w:tc>
          <w:tcPr>
            <w:tcW w:w="1272" w:type="dxa"/>
            <w:vAlign w:val="top"/>
          </w:tcPr>
          <w:p w14:paraId="12B7C668">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1.3</w:t>
            </w:r>
          </w:p>
        </w:tc>
        <w:tc>
          <w:tcPr>
            <w:tcW w:w="1269" w:type="dxa"/>
            <w:vAlign w:val="top"/>
          </w:tcPr>
          <w:p w14:paraId="784EB478">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17.64</w:t>
            </w:r>
          </w:p>
        </w:tc>
      </w:tr>
      <w:tr w14:paraId="3E85F3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68676A32">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231.5</w:t>
            </w:r>
          </w:p>
        </w:tc>
        <w:tc>
          <w:tcPr>
            <w:tcW w:w="1272" w:type="dxa"/>
            <w:vAlign w:val="top"/>
          </w:tcPr>
          <w:p w14:paraId="50737FF1">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0.5</w:t>
            </w:r>
          </w:p>
        </w:tc>
        <w:tc>
          <w:tcPr>
            <w:tcW w:w="1271" w:type="dxa"/>
            <w:vAlign w:val="top"/>
          </w:tcPr>
          <w:p w14:paraId="408B6D7B">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1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5.65</w:t>
            </w:r>
          </w:p>
        </w:tc>
        <w:tc>
          <w:tcPr>
            <w:tcW w:w="1660" w:type="dxa"/>
            <w:vAlign w:val="top"/>
          </w:tcPr>
          <w:p w14:paraId="55D12582">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232.4</w:t>
            </w:r>
          </w:p>
        </w:tc>
        <w:tc>
          <w:tcPr>
            <w:tcW w:w="1272" w:type="dxa"/>
            <w:vAlign w:val="top"/>
          </w:tcPr>
          <w:p w14:paraId="31FEE93F">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1.4</w:t>
            </w:r>
          </w:p>
        </w:tc>
        <w:tc>
          <w:tcPr>
            <w:tcW w:w="1269" w:type="dxa"/>
            <w:vAlign w:val="top"/>
          </w:tcPr>
          <w:p w14:paraId="5DAE63BC">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19.43</w:t>
            </w:r>
          </w:p>
        </w:tc>
      </w:tr>
      <w:tr w14:paraId="1DE2A4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71" w:type="dxa"/>
            <w:vAlign w:val="top"/>
          </w:tcPr>
          <w:p w14:paraId="1CA89855">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231.6</w:t>
            </w:r>
          </w:p>
        </w:tc>
        <w:tc>
          <w:tcPr>
            <w:tcW w:w="1272" w:type="dxa"/>
            <w:vAlign w:val="top"/>
          </w:tcPr>
          <w:p w14:paraId="3D4C9DB5">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0.6</w:t>
            </w:r>
          </w:p>
        </w:tc>
        <w:tc>
          <w:tcPr>
            <w:tcW w:w="1271" w:type="dxa"/>
            <w:vAlign w:val="top"/>
          </w:tcPr>
          <w:p w14:paraId="0D474EE4">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1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6.90</w:t>
            </w:r>
          </w:p>
        </w:tc>
        <w:tc>
          <w:tcPr>
            <w:tcW w:w="1660" w:type="dxa"/>
            <w:vAlign w:val="top"/>
          </w:tcPr>
          <w:p w14:paraId="2A7E81DF">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232.5</w:t>
            </w:r>
          </w:p>
        </w:tc>
        <w:tc>
          <w:tcPr>
            <w:tcW w:w="1272" w:type="dxa"/>
            <w:vAlign w:val="top"/>
          </w:tcPr>
          <w:p w14:paraId="241D6B21">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1.5</w:t>
            </w:r>
          </w:p>
        </w:tc>
        <w:tc>
          <w:tcPr>
            <w:tcW w:w="1269" w:type="dxa"/>
            <w:tcBorders>
              <w:bottom w:val="single" w:color="auto" w:sz="4" w:space="0"/>
            </w:tcBorders>
            <w:vAlign w:val="top"/>
          </w:tcPr>
          <w:p w14:paraId="18B07A9A">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21.28</w:t>
            </w:r>
          </w:p>
        </w:tc>
      </w:tr>
      <w:tr w14:paraId="4BD42D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387913A7">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231.7</w:t>
            </w:r>
          </w:p>
        </w:tc>
        <w:tc>
          <w:tcPr>
            <w:tcW w:w="1272" w:type="dxa"/>
            <w:vAlign w:val="top"/>
          </w:tcPr>
          <w:p w14:paraId="6310BC09">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0.7</w:t>
            </w:r>
          </w:p>
        </w:tc>
        <w:tc>
          <w:tcPr>
            <w:tcW w:w="1271" w:type="dxa"/>
            <w:vAlign w:val="top"/>
          </w:tcPr>
          <w:p w14:paraId="1ACC1ED1">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1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8.22</w:t>
            </w:r>
          </w:p>
        </w:tc>
        <w:tc>
          <w:tcPr>
            <w:tcW w:w="1660" w:type="dxa"/>
            <w:vAlign w:val="top"/>
          </w:tcPr>
          <w:p w14:paraId="36301303">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232.6</w:t>
            </w:r>
          </w:p>
        </w:tc>
        <w:tc>
          <w:tcPr>
            <w:tcW w:w="1272" w:type="dxa"/>
            <w:tcBorders>
              <w:right w:val="single" w:color="auto" w:sz="4" w:space="0"/>
            </w:tcBorders>
            <w:vAlign w:val="top"/>
          </w:tcPr>
          <w:p w14:paraId="66BC7F45">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1.6</w:t>
            </w:r>
          </w:p>
        </w:tc>
        <w:tc>
          <w:tcPr>
            <w:tcW w:w="1269" w:type="dxa"/>
            <w:tcBorders>
              <w:top w:val="single" w:color="auto" w:sz="4" w:space="0"/>
              <w:left w:val="single" w:color="auto" w:sz="4" w:space="0"/>
              <w:bottom w:val="single" w:color="auto" w:sz="4" w:space="0"/>
              <w:right w:val="single" w:color="auto" w:sz="4" w:space="0"/>
            </w:tcBorders>
            <w:vAlign w:val="top"/>
          </w:tcPr>
          <w:p w14:paraId="6931AC81">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23.18</w:t>
            </w:r>
          </w:p>
        </w:tc>
      </w:tr>
      <w:tr w14:paraId="6764E7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3906B0D4">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231.8</w:t>
            </w:r>
          </w:p>
        </w:tc>
        <w:tc>
          <w:tcPr>
            <w:tcW w:w="1272" w:type="dxa"/>
            <w:vAlign w:val="top"/>
          </w:tcPr>
          <w:p w14:paraId="78D339CB">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0.8</w:t>
            </w:r>
          </w:p>
        </w:tc>
        <w:tc>
          <w:tcPr>
            <w:tcW w:w="1271" w:type="dxa"/>
            <w:vAlign w:val="top"/>
          </w:tcPr>
          <w:p w14:paraId="2EEBA1B1">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1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9.62</w:t>
            </w:r>
          </w:p>
        </w:tc>
        <w:tc>
          <w:tcPr>
            <w:tcW w:w="1660" w:type="dxa"/>
            <w:vAlign w:val="top"/>
          </w:tcPr>
          <w:p w14:paraId="18478956">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232.7</w:t>
            </w:r>
          </w:p>
        </w:tc>
        <w:tc>
          <w:tcPr>
            <w:tcW w:w="1272" w:type="dxa"/>
            <w:vAlign w:val="top"/>
          </w:tcPr>
          <w:p w14:paraId="61DD629C">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1.7</w:t>
            </w:r>
          </w:p>
        </w:tc>
        <w:tc>
          <w:tcPr>
            <w:tcW w:w="1269" w:type="dxa"/>
            <w:tcBorders>
              <w:top w:val="single" w:color="auto" w:sz="4" w:space="0"/>
            </w:tcBorders>
            <w:vAlign w:val="top"/>
          </w:tcPr>
          <w:p w14:paraId="275E909B">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25.13</w:t>
            </w:r>
          </w:p>
        </w:tc>
      </w:tr>
      <w:tr w14:paraId="4FCD78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1671" w:type="dxa"/>
            <w:vAlign w:val="top"/>
          </w:tcPr>
          <w:p w14:paraId="3FFF5E75">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231.9</w:t>
            </w:r>
          </w:p>
        </w:tc>
        <w:tc>
          <w:tcPr>
            <w:tcW w:w="1272" w:type="dxa"/>
            <w:vAlign w:val="top"/>
          </w:tcPr>
          <w:p w14:paraId="47F33E8F">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0.9</w:t>
            </w:r>
          </w:p>
        </w:tc>
        <w:tc>
          <w:tcPr>
            <w:tcW w:w="1271" w:type="dxa"/>
            <w:vAlign w:val="top"/>
          </w:tcPr>
          <w:p w14:paraId="703C83D3">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11.10</w:t>
            </w:r>
          </w:p>
        </w:tc>
        <w:tc>
          <w:tcPr>
            <w:tcW w:w="1660" w:type="dxa"/>
            <w:vAlign w:val="top"/>
          </w:tcPr>
          <w:p w14:paraId="400BBAC7">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232.8</w:t>
            </w:r>
          </w:p>
        </w:tc>
        <w:tc>
          <w:tcPr>
            <w:tcW w:w="1272" w:type="dxa"/>
            <w:vAlign w:val="top"/>
          </w:tcPr>
          <w:p w14:paraId="72BD9F7B">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1.8</w:t>
            </w:r>
          </w:p>
        </w:tc>
        <w:tc>
          <w:tcPr>
            <w:tcW w:w="1269" w:type="dxa"/>
            <w:vAlign w:val="top"/>
          </w:tcPr>
          <w:p w14:paraId="2D83711A">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27.14</w:t>
            </w:r>
          </w:p>
        </w:tc>
      </w:tr>
    </w:tbl>
    <w:p w14:paraId="382D114A">
      <w:pPr>
        <w:numPr>
          <w:ilvl w:val="0"/>
          <w:numId w:val="4"/>
        </w:numPr>
        <w:tabs>
          <w:tab w:val="clear" w:pos="312"/>
        </w:tabs>
        <w:bidi w:val="0"/>
        <w:ind w:left="0" w:leftChars="0" w:firstLine="560" w:firstLineChars="200"/>
        <w:rPr>
          <w:rFonts w:hint="default" w:ascii="Times New Roman" w:hAnsi="Times New Roman" w:cs="Times New Roman"/>
        </w:rPr>
      </w:pPr>
      <w:r>
        <w:rPr>
          <w:rFonts w:hint="default" w:ascii="Times New Roman" w:hAnsi="Times New Roman" w:cs="Times New Roman"/>
        </w:rPr>
        <w:t>尾矿库综合泄流能力</w:t>
      </w:r>
    </w:p>
    <w:p w14:paraId="3EA4AA74">
      <w:pPr>
        <w:widowControl/>
        <w:kinsoku w:val="0"/>
        <w:autoSpaceDE w:val="0"/>
        <w:autoSpaceDN w:val="0"/>
        <w:spacing w:before="153" w:line="220" w:lineRule="auto"/>
        <w:ind w:left="1768" w:firstLine="0" w:firstLineChars="0"/>
        <w:jc w:val="left"/>
        <w:textAlignment w:val="baseline"/>
        <w:rPr>
          <w:rFonts w:hint="default" w:ascii="Times New Roman" w:hAnsi="Times New Roman" w:cs="Times New Roman"/>
        </w:rPr>
      </w:pPr>
      <w:r>
        <w:rPr>
          <w:rFonts w:ascii="宋体" w:hAnsi="宋体" w:eastAsia="宋体" w:cs="宋体"/>
          <w:snapToGrid w:val="0"/>
          <w:color w:val="000000"/>
          <w:spacing w:val="-1"/>
          <w:kern w:val="0"/>
          <w:sz w:val="28"/>
          <w:szCs w:val="28"/>
          <w:lang w:eastAsia="en-US"/>
        </w:rPr>
        <w:t>表</w:t>
      </w:r>
      <w:r>
        <w:rPr>
          <w:rFonts w:hint="eastAsia" w:ascii="宋体" w:hAnsi="宋体" w:eastAsia="宋体" w:cs="宋体"/>
          <w:snapToGrid w:val="0"/>
          <w:color w:val="000000"/>
          <w:spacing w:val="-1"/>
          <w:kern w:val="0"/>
          <w:sz w:val="28"/>
          <w:szCs w:val="28"/>
          <w:lang w:val="en-US" w:eastAsia="zh-CN"/>
        </w:rPr>
        <w:t>5.3.2</w:t>
      </w:r>
      <w:r>
        <w:rPr>
          <w:rFonts w:ascii="宋体" w:hAnsi="宋体" w:eastAsia="宋体" w:cs="宋体"/>
          <w:snapToGrid w:val="0"/>
          <w:color w:val="000000"/>
          <w:spacing w:val="-1"/>
          <w:kern w:val="0"/>
          <w:sz w:val="28"/>
          <w:szCs w:val="28"/>
          <w:lang w:eastAsia="en-US"/>
        </w:rPr>
        <w:t>-9 尾矿库水位与综合泄流能力关系</w:t>
      </w:r>
    </w:p>
    <w:tbl>
      <w:tblPr>
        <w:tblStyle w:val="27"/>
        <w:tblW w:w="84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71"/>
        <w:gridCol w:w="1272"/>
        <w:gridCol w:w="1271"/>
        <w:gridCol w:w="1660"/>
        <w:gridCol w:w="1272"/>
        <w:gridCol w:w="1269"/>
      </w:tblGrid>
      <w:tr w14:paraId="13AC2B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671" w:type="dxa"/>
            <w:vAlign w:val="top"/>
          </w:tcPr>
          <w:p w14:paraId="72498053">
            <w:pPr>
              <w:keepNext w:val="0"/>
              <w:keepLines w:val="0"/>
              <w:pageBreakBefore w:val="0"/>
              <w:widowControl w:val="0"/>
              <w:kinsoku w:val="0"/>
              <w:wordWrap/>
              <w:overflowPunct/>
              <w:topLinePunct w:val="0"/>
              <w:autoSpaceDE w:val="0"/>
              <w:autoSpaceDN w:val="0"/>
              <w:bidi w:val="0"/>
              <w:adjustRightInd w:val="0"/>
              <w:snapToGrid w:val="0"/>
              <w:spacing w:before="197" w:line="217" w:lineRule="auto"/>
              <w:ind w:left="18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水位高程</w:t>
            </w:r>
            <w:r>
              <w:rPr>
                <w:rFonts w:ascii="仿宋" w:hAnsi="仿宋" w:eastAsia="仿宋" w:cs="仿宋"/>
                <w:snapToGrid w:val="0"/>
                <w:color w:val="000000"/>
                <w:spacing w:val="-61"/>
                <w:kern w:val="0"/>
                <w:sz w:val="24"/>
                <w:szCs w:val="24"/>
                <w:lang w:val="en-US" w:eastAsia="en-US" w:bidi="ar-SA"/>
              </w:rPr>
              <w:t xml:space="preserve"> </w:t>
            </w:r>
            <w:r>
              <w:rPr>
                <w:rFonts w:ascii="仿宋" w:hAnsi="仿宋" w:eastAsia="仿宋" w:cs="仿宋"/>
                <w:snapToGrid w:val="0"/>
                <w:color w:val="000000"/>
                <w:spacing w:val="-7"/>
                <w:kern w:val="0"/>
                <w:sz w:val="24"/>
                <w:szCs w:val="24"/>
                <w:lang w:val="en-US" w:eastAsia="en-US" w:bidi="ar-SA"/>
              </w:rPr>
              <w:t>(m)</w:t>
            </w:r>
          </w:p>
        </w:tc>
        <w:tc>
          <w:tcPr>
            <w:tcW w:w="1272" w:type="dxa"/>
            <w:vAlign w:val="top"/>
          </w:tcPr>
          <w:p w14:paraId="0756B8AE">
            <w:pPr>
              <w:keepNext w:val="0"/>
              <w:keepLines w:val="0"/>
              <w:pageBreakBefore w:val="0"/>
              <w:widowControl w:val="0"/>
              <w:kinsoku w:val="0"/>
              <w:wordWrap/>
              <w:overflowPunct/>
              <w:topLinePunct w:val="0"/>
              <w:autoSpaceDE w:val="0"/>
              <w:autoSpaceDN w:val="0"/>
              <w:bidi w:val="0"/>
              <w:adjustRightInd w:val="0"/>
              <w:snapToGrid w:val="0"/>
              <w:spacing w:before="40" w:line="224" w:lineRule="auto"/>
              <w:ind w:left="253" w:right="15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泄流水深</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4"/>
                <w:w w:val="93"/>
                <w:kern w:val="0"/>
                <w:sz w:val="24"/>
                <w:szCs w:val="24"/>
                <w:lang w:val="en-US" w:eastAsia="en-US" w:bidi="ar-SA"/>
              </w:rPr>
              <w:t>H</w:t>
            </w:r>
            <w:r>
              <w:rPr>
                <w:rFonts w:ascii="仿宋" w:hAnsi="仿宋" w:eastAsia="仿宋" w:cs="仿宋"/>
                <w:snapToGrid w:val="0"/>
                <w:color w:val="000000"/>
                <w:kern w:val="0"/>
                <w:position w:val="-1"/>
                <w:sz w:val="12"/>
                <w:szCs w:val="12"/>
                <w:lang w:val="en-US" w:eastAsia="en-US" w:bidi="ar-SA"/>
              </w:rPr>
              <w:t>0</w:t>
            </w:r>
            <w:r>
              <w:rPr>
                <w:rFonts w:ascii="仿宋" w:hAnsi="仿宋" w:eastAsia="仿宋" w:cs="仿宋"/>
                <w:snapToGrid w:val="0"/>
                <w:color w:val="000000"/>
                <w:kern w:val="0"/>
                <w:sz w:val="24"/>
                <w:szCs w:val="24"/>
                <w:lang w:val="en-US" w:eastAsia="en-US" w:bidi="ar-SA"/>
              </w:rPr>
              <w:t>（m）</w:t>
            </w:r>
          </w:p>
        </w:tc>
        <w:tc>
          <w:tcPr>
            <w:tcW w:w="1271" w:type="dxa"/>
            <w:vAlign w:val="top"/>
          </w:tcPr>
          <w:p w14:paraId="13879FBD">
            <w:pPr>
              <w:keepNext w:val="0"/>
              <w:keepLines w:val="0"/>
              <w:pageBreakBefore w:val="0"/>
              <w:widowControl w:val="0"/>
              <w:kinsoku w:val="0"/>
              <w:wordWrap/>
              <w:overflowPunct/>
              <w:topLinePunct w:val="0"/>
              <w:autoSpaceDE w:val="0"/>
              <w:autoSpaceDN w:val="0"/>
              <w:bidi w:val="0"/>
              <w:adjustRightInd w:val="0"/>
              <w:snapToGrid w:val="0"/>
              <w:spacing w:before="40" w:line="224" w:lineRule="auto"/>
              <w:ind w:left="253" w:right="24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泄流量</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2"/>
                <w:kern w:val="0"/>
                <w:sz w:val="24"/>
                <w:szCs w:val="24"/>
                <w:lang w:val="en-US" w:eastAsia="en-US" w:bidi="ar-SA"/>
              </w:rPr>
              <w:t>Q(m</w:t>
            </w:r>
            <w:r>
              <w:rPr>
                <w:rFonts w:ascii="仿宋" w:hAnsi="仿宋" w:eastAsia="仿宋" w:cs="仿宋"/>
                <w:snapToGrid w:val="0"/>
                <w:color w:val="000000"/>
                <w:spacing w:val="-2"/>
                <w:kern w:val="0"/>
                <w:position w:val="11"/>
                <w:sz w:val="12"/>
                <w:szCs w:val="12"/>
                <w:lang w:val="en-US" w:eastAsia="en-US" w:bidi="ar-SA"/>
              </w:rPr>
              <w:t>3</w:t>
            </w:r>
            <w:r>
              <w:rPr>
                <w:rFonts w:ascii="仿宋" w:hAnsi="仿宋" w:eastAsia="仿宋" w:cs="仿宋"/>
                <w:snapToGrid w:val="0"/>
                <w:color w:val="000000"/>
                <w:spacing w:val="-2"/>
                <w:kern w:val="0"/>
                <w:sz w:val="24"/>
                <w:szCs w:val="24"/>
                <w:lang w:val="en-US" w:eastAsia="en-US" w:bidi="ar-SA"/>
              </w:rPr>
              <w:t>/s)</w:t>
            </w:r>
          </w:p>
        </w:tc>
        <w:tc>
          <w:tcPr>
            <w:tcW w:w="1660" w:type="dxa"/>
            <w:vAlign w:val="top"/>
          </w:tcPr>
          <w:p w14:paraId="4B64E30D">
            <w:pPr>
              <w:keepNext w:val="0"/>
              <w:keepLines w:val="0"/>
              <w:pageBreakBefore w:val="0"/>
              <w:widowControl w:val="0"/>
              <w:kinsoku w:val="0"/>
              <w:wordWrap/>
              <w:overflowPunct/>
              <w:topLinePunct w:val="0"/>
              <w:autoSpaceDE w:val="0"/>
              <w:autoSpaceDN w:val="0"/>
              <w:bidi w:val="0"/>
              <w:adjustRightInd w:val="0"/>
              <w:snapToGrid w:val="0"/>
              <w:spacing w:before="197" w:line="217" w:lineRule="auto"/>
              <w:ind w:left="1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水位高程</w:t>
            </w:r>
            <w:r>
              <w:rPr>
                <w:rFonts w:ascii="仿宋" w:hAnsi="仿宋" w:eastAsia="仿宋" w:cs="仿宋"/>
                <w:snapToGrid w:val="0"/>
                <w:color w:val="000000"/>
                <w:spacing w:val="-60"/>
                <w:kern w:val="0"/>
                <w:sz w:val="24"/>
                <w:szCs w:val="24"/>
                <w:lang w:val="en-US" w:eastAsia="en-US" w:bidi="ar-SA"/>
              </w:rPr>
              <w:t xml:space="preserve"> </w:t>
            </w:r>
            <w:r>
              <w:rPr>
                <w:rFonts w:ascii="仿宋" w:hAnsi="仿宋" w:eastAsia="仿宋" w:cs="仿宋"/>
                <w:snapToGrid w:val="0"/>
                <w:color w:val="000000"/>
                <w:spacing w:val="-7"/>
                <w:kern w:val="0"/>
                <w:sz w:val="24"/>
                <w:szCs w:val="24"/>
                <w:lang w:val="en-US" w:eastAsia="en-US" w:bidi="ar-SA"/>
              </w:rPr>
              <w:t>(m)</w:t>
            </w:r>
          </w:p>
        </w:tc>
        <w:tc>
          <w:tcPr>
            <w:tcW w:w="1272" w:type="dxa"/>
            <w:vAlign w:val="top"/>
          </w:tcPr>
          <w:p w14:paraId="25C32135">
            <w:pPr>
              <w:keepNext w:val="0"/>
              <w:keepLines w:val="0"/>
              <w:pageBreakBefore w:val="0"/>
              <w:widowControl w:val="0"/>
              <w:kinsoku w:val="0"/>
              <w:wordWrap/>
              <w:overflowPunct/>
              <w:topLinePunct w:val="0"/>
              <w:autoSpaceDE w:val="0"/>
              <w:autoSpaceDN w:val="0"/>
              <w:bidi w:val="0"/>
              <w:adjustRightInd w:val="0"/>
              <w:snapToGrid w:val="0"/>
              <w:spacing w:before="40" w:line="224" w:lineRule="auto"/>
              <w:ind w:left="256" w:right="1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泄流水深</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4"/>
                <w:w w:val="93"/>
                <w:kern w:val="0"/>
                <w:sz w:val="24"/>
                <w:szCs w:val="24"/>
                <w:lang w:val="en-US" w:eastAsia="en-US" w:bidi="ar-SA"/>
              </w:rPr>
              <w:t>H</w:t>
            </w:r>
            <w:r>
              <w:rPr>
                <w:rFonts w:ascii="仿宋" w:hAnsi="仿宋" w:eastAsia="仿宋" w:cs="仿宋"/>
                <w:snapToGrid w:val="0"/>
                <w:color w:val="000000"/>
                <w:kern w:val="0"/>
                <w:position w:val="-1"/>
                <w:sz w:val="12"/>
                <w:szCs w:val="12"/>
                <w:lang w:val="en-US" w:eastAsia="en-US" w:bidi="ar-SA"/>
              </w:rPr>
              <w:t>0</w:t>
            </w:r>
            <w:r>
              <w:rPr>
                <w:rFonts w:ascii="仿宋" w:hAnsi="仿宋" w:eastAsia="仿宋" w:cs="仿宋"/>
                <w:snapToGrid w:val="0"/>
                <w:color w:val="000000"/>
                <w:kern w:val="0"/>
                <w:sz w:val="24"/>
                <w:szCs w:val="24"/>
                <w:lang w:val="en-US" w:eastAsia="en-US" w:bidi="ar-SA"/>
              </w:rPr>
              <w:t>（m）</w:t>
            </w:r>
          </w:p>
        </w:tc>
        <w:tc>
          <w:tcPr>
            <w:tcW w:w="1269" w:type="dxa"/>
            <w:vAlign w:val="top"/>
          </w:tcPr>
          <w:p w14:paraId="1BC25A53">
            <w:pPr>
              <w:keepNext w:val="0"/>
              <w:keepLines w:val="0"/>
              <w:pageBreakBefore w:val="0"/>
              <w:widowControl w:val="0"/>
              <w:kinsoku w:val="0"/>
              <w:wordWrap/>
              <w:overflowPunct/>
              <w:topLinePunct w:val="0"/>
              <w:autoSpaceDE w:val="0"/>
              <w:autoSpaceDN w:val="0"/>
              <w:bidi w:val="0"/>
              <w:adjustRightInd w:val="0"/>
              <w:snapToGrid w:val="0"/>
              <w:spacing w:before="40" w:line="224" w:lineRule="auto"/>
              <w:ind w:left="251" w:right="24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泄流量</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2"/>
                <w:kern w:val="0"/>
                <w:sz w:val="24"/>
                <w:szCs w:val="24"/>
                <w:lang w:val="en-US" w:eastAsia="en-US" w:bidi="ar-SA"/>
              </w:rPr>
              <w:t>Q(m</w:t>
            </w:r>
            <w:r>
              <w:rPr>
                <w:rFonts w:ascii="仿宋" w:hAnsi="仿宋" w:eastAsia="仿宋" w:cs="仿宋"/>
                <w:snapToGrid w:val="0"/>
                <w:color w:val="000000"/>
                <w:spacing w:val="-2"/>
                <w:kern w:val="0"/>
                <w:position w:val="11"/>
                <w:sz w:val="12"/>
                <w:szCs w:val="12"/>
                <w:lang w:val="en-US" w:eastAsia="en-US" w:bidi="ar-SA"/>
              </w:rPr>
              <w:t>3</w:t>
            </w:r>
            <w:r>
              <w:rPr>
                <w:rFonts w:ascii="仿宋" w:hAnsi="仿宋" w:eastAsia="仿宋" w:cs="仿宋"/>
                <w:snapToGrid w:val="0"/>
                <w:color w:val="000000"/>
                <w:spacing w:val="-2"/>
                <w:kern w:val="0"/>
                <w:sz w:val="24"/>
                <w:szCs w:val="24"/>
                <w:lang w:val="en-US" w:eastAsia="en-US" w:bidi="ar-SA"/>
              </w:rPr>
              <w:t>/s)</w:t>
            </w:r>
          </w:p>
        </w:tc>
      </w:tr>
      <w:tr w14:paraId="37862E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53647D4F">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229.5</w:t>
            </w:r>
          </w:p>
        </w:tc>
        <w:tc>
          <w:tcPr>
            <w:tcW w:w="1272" w:type="dxa"/>
            <w:vAlign w:val="top"/>
          </w:tcPr>
          <w:p w14:paraId="3E88EE57">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9"/>
                <w:kern w:val="0"/>
                <w:sz w:val="24"/>
                <w:szCs w:val="24"/>
                <w:lang w:val="en-US" w:eastAsia="en-US" w:bidi="ar-SA"/>
              </w:rPr>
              <w:t>0.0</w:t>
            </w:r>
          </w:p>
        </w:tc>
        <w:tc>
          <w:tcPr>
            <w:tcW w:w="1271" w:type="dxa"/>
            <w:vAlign w:val="top"/>
          </w:tcPr>
          <w:p w14:paraId="574E1B98">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4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0.00</w:t>
            </w:r>
          </w:p>
        </w:tc>
        <w:tc>
          <w:tcPr>
            <w:tcW w:w="1660" w:type="dxa"/>
            <w:vAlign w:val="top"/>
          </w:tcPr>
          <w:p w14:paraId="6DF857AB">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231.2</w:t>
            </w:r>
          </w:p>
        </w:tc>
        <w:tc>
          <w:tcPr>
            <w:tcW w:w="1272" w:type="dxa"/>
            <w:vAlign w:val="top"/>
          </w:tcPr>
          <w:p w14:paraId="5ADBC040">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1.7</w:t>
            </w:r>
          </w:p>
        </w:tc>
        <w:tc>
          <w:tcPr>
            <w:tcW w:w="1269" w:type="dxa"/>
            <w:vAlign w:val="top"/>
          </w:tcPr>
          <w:p w14:paraId="568C0A14">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40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4.74</w:t>
            </w:r>
          </w:p>
        </w:tc>
      </w:tr>
      <w:tr w14:paraId="70D783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302D6274">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229.6</w:t>
            </w:r>
          </w:p>
        </w:tc>
        <w:tc>
          <w:tcPr>
            <w:tcW w:w="1272" w:type="dxa"/>
            <w:vAlign w:val="top"/>
          </w:tcPr>
          <w:p w14:paraId="7674C4B4">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0.1</w:t>
            </w:r>
          </w:p>
        </w:tc>
        <w:tc>
          <w:tcPr>
            <w:tcW w:w="1271" w:type="dxa"/>
            <w:vAlign w:val="top"/>
          </w:tcPr>
          <w:p w14:paraId="0C4FA059">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0.05</w:t>
            </w:r>
          </w:p>
        </w:tc>
        <w:tc>
          <w:tcPr>
            <w:tcW w:w="1660" w:type="dxa"/>
            <w:vAlign w:val="top"/>
          </w:tcPr>
          <w:p w14:paraId="73D441A8">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231.3</w:t>
            </w:r>
          </w:p>
        </w:tc>
        <w:tc>
          <w:tcPr>
            <w:tcW w:w="1272" w:type="dxa"/>
            <w:vAlign w:val="top"/>
          </w:tcPr>
          <w:p w14:paraId="2232F0A7">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1.8</w:t>
            </w:r>
          </w:p>
        </w:tc>
        <w:tc>
          <w:tcPr>
            <w:tcW w:w="1269" w:type="dxa"/>
            <w:vAlign w:val="top"/>
          </w:tcPr>
          <w:p w14:paraId="4D64F107">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1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5.74</w:t>
            </w:r>
          </w:p>
        </w:tc>
      </w:tr>
      <w:tr w14:paraId="55783D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5A27DA08">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229.7</w:t>
            </w:r>
          </w:p>
        </w:tc>
        <w:tc>
          <w:tcPr>
            <w:tcW w:w="1272" w:type="dxa"/>
            <w:vAlign w:val="top"/>
          </w:tcPr>
          <w:p w14:paraId="1A86A8BD">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0.2</w:t>
            </w:r>
          </w:p>
        </w:tc>
        <w:tc>
          <w:tcPr>
            <w:tcW w:w="1271" w:type="dxa"/>
            <w:vAlign w:val="top"/>
          </w:tcPr>
          <w:p w14:paraId="128BA69F">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0.56</w:t>
            </w:r>
          </w:p>
        </w:tc>
        <w:tc>
          <w:tcPr>
            <w:tcW w:w="1660" w:type="dxa"/>
            <w:vAlign w:val="top"/>
          </w:tcPr>
          <w:p w14:paraId="72990464">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231.4</w:t>
            </w:r>
          </w:p>
        </w:tc>
        <w:tc>
          <w:tcPr>
            <w:tcW w:w="1272" w:type="dxa"/>
            <w:vAlign w:val="top"/>
          </w:tcPr>
          <w:p w14:paraId="56A5BF3F">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1.9</w:t>
            </w:r>
          </w:p>
        </w:tc>
        <w:tc>
          <w:tcPr>
            <w:tcW w:w="1269" w:type="dxa"/>
            <w:vAlign w:val="top"/>
          </w:tcPr>
          <w:p w14:paraId="6FBA41B5">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6.85</w:t>
            </w:r>
          </w:p>
        </w:tc>
      </w:tr>
      <w:tr w14:paraId="254D6A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170C5FF2">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229.8</w:t>
            </w:r>
          </w:p>
        </w:tc>
        <w:tc>
          <w:tcPr>
            <w:tcW w:w="1272" w:type="dxa"/>
            <w:vAlign w:val="top"/>
          </w:tcPr>
          <w:p w14:paraId="7D3EA130">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0.3</w:t>
            </w:r>
          </w:p>
        </w:tc>
        <w:tc>
          <w:tcPr>
            <w:tcW w:w="1271" w:type="dxa"/>
            <w:vAlign w:val="top"/>
          </w:tcPr>
          <w:p w14:paraId="0757FDAF">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0.13</w:t>
            </w:r>
          </w:p>
        </w:tc>
        <w:tc>
          <w:tcPr>
            <w:tcW w:w="1660" w:type="dxa"/>
            <w:vAlign w:val="top"/>
          </w:tcPr>
          <w:p w14:paraId="313E193A">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231.5</w:t>
            </w:r>
          </w:p>
        </w:tc>
        <w:tc>
          <w:tcPr>
            <w:tcW w:w="1272" w:type="dxa"/>
            <w:vAlign w:val="top"/>
          </w:tcPr>
          <w:p w14:paraId="268C1BC4">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2.0</w:t>
            </w:r>
          </w:p>
        </w:tc>
        <w:tc>
          <w:tcPr>
            <w:tcW w:w="1269" w:type="dxa"/>
            <w:vAlign w:val="top"/>
          </w:tcPr>
          <w:p w14:paraId="7783075C">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8.04</w:t>
            </w:r>
          </w:p>
        </w:tc>
      </w:tr>
      <w:tr w14:paraId="77F238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77BA25DA">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229.9</w:t>
            </w:r>
          </w:p>
        </w:tc>
        <w:tc>
          <w:tcPr>
            <w:tcW w:w="1272" w:type="dxa"/>
            <w:vAlign w:val="top"/>
          </w:tcPr>
          <w:p w14:paraId="2F725C4C">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0.4</w:t>
            </w:r>
          </w:p>
        </w:tc>
        <w:tc>
          <w:tcPr>
            <w:tcW w:w="1271" w:type="dxa"/>
            <w:vAlign w:val="top"/>
          </w:tcPr>
          <w:p w14:paraId="3BFE3A1A">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0.76</w:t>
            </w:r>
          </w:p>
        </w:tc>
        <w:tc>
          <w:tcPr>
            <w:tcW w:w="1660" w:type="dxa"/>
            <w:vAlign w:val="top"/>
          </w:tcPr>
          <w:p w14:paraId="3CFB34D7">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231.6</w:t>
            </w:r>
          </w:p>
        </w:tc>
        <w:tc>
          <w:tcPr>
            <w:tcW w:w="1272" w:type="dxa"/>
            <w:vAlign w:val="top"/>
          </w:tcPr>
          <w:p w14:paraId="498B52DF">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2.1</w:t>
            </w:r>
          </w:p>
        </w:tc>
        <w:tc>
          <w:tcPr>
            <w:tcW w:w="1269" w:type="dxa"/>
            <w:vAlign w:val="top"/>
          </w:tcPr>
          <w:p w14:paraId="64E72B93">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9.32</w:t>
            </w:r>
          </w:p>
        </w:tc>
      </w:tr>
      <w:tr w14:paraId="2C7291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31FCFA30">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230.0</w:t>
            </w:r>
          </w:p>
        </w:tc>
        <w:tc>
          <w:tcPr>
            <w:tcW w:w="1272" w:type="dxa"/>
            <w:vAlign w:val="top"/>
          </w:tcPr>
          <w:p w14:paraId="6D0B9149">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0.5</w:t>
            </w:r>
          </w:p>
        </w:tc>
        <w:tc>
          <w:tcPr>
            <w:tcW w:w="1271" w:type="dxa"/>
            <w:vAlign w:val="top"/>
          </w:tcPr>
          <w:p w14:paraId="76802523">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1.75</w:t>
            </w:r>
          </w:p>
        </w:tc>
        <w:tc>
          <w:tcPr>
            <w:tcW w:w="1660" w:type="dxa"/>
            <w:vAlign w:val="top"/>
          </w:tcPr>
          <w:p w14:paraId="70ACECE4">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231.7</w:t>
            </w:r>
          </w:p>
        </w:tc>
        <w:tc>
          <w:tcPr>
            <w:tcW w:w="1272" w:type="dxa"/>
            <w:vAlign w:val="top"/>
          </w:tcPr>
          <w:p w14:paraId="2837A8CA">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2.2</w:t>
            </w:r>
          </w:p>
        </w:tc>
        <w:tc>
          <w:tcPr>
            <w:tcW w:w="1269" w:type="dxa"/>
            <w:vAlign w:val="top"/>
          </w:tcPr>
          <w:p w14:paraId="4E29E925">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10.68</w:t>
            </w:r>
          </w:p>
        </w:tc>
      </w:tr>
      <w:tr w14:paraId="0CA0EC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6E2E589E">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230.1</w:t>
            </w:r>
          </w:p>
        </w:tc>
        <w:tc>
          <w:tcPr>
            <w:tcW w:w="1272" w:type="dxa"/>
            <w:vAlign w:val="top"/>
          </w:tcPr>
          <w:p w14:paraId="7D5654A0">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0.6</w:t>
            </w:r>
          </w:p>
        </w:tc>
        <w:tc>
          <w:tcPr>
            <w:tcW w:w="1271" w:type="dxa"/>
            <w:vAlign w:val="top"/>
          </w:tcPr>
          <w:p w14:paraId="122DB1B8">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1.79</w:t>
            </w:r>
          </w:p>
        </w:tc>
        <w:tc>
          <w:tcPr>
            <w:tcW w:w="1660" w:type="dxa"/>
            <w:vAlign w:val="top"/>
          </w:tcPr>
          <w:p w14:paraId="4CC0481F">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231.8</w:t>
            </w:r>
          </w:p>
        </w:tc>
        <w:tc>
          <w:tcPr>
            <w:tcW w:w="1272" w:type="dxa"/>
            <w:vAlign w:val="top"/>
          </w:tcPr>
          <w:p w14:paraId="4F245E83">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2.3</w:t>
            </w:r>
          </w:p>
        </w:tc>
        <w:tc>
          <w:tcPr>
            <w:tcW w:w="1269" w:type="dxa"/>
            <w:vAlign w:val="top"/>
          </w:tcPr>
          <w:p w14:paraId="68697E62">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12.12</w:t>
            </w:r>
          </w:p>
        </w:tc>
      </w:tr>
      <w:tr w14:paraId="410AF1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30C3DEBB">
            <w:pPr>
              <w:keepNext w:val="0"/>
              <w:keepLines w:val="0"/>
              <w:pageBreakBefore w:val="0"/>
              <w:widowControl w:val="0"/>
              <w:kinsoku w:val="0"/>
              <w:wordWrap/>
              <w:overflowPunct/>
              <w:topLinePunct w:val="0"/>
              <w:autoSpaceDE w:val="0"/>
              <w:autoSpaceDN w:val="0"/>
              <w:bidi w:val="0"/>
              <w:adjustRightInd w:val="0"/>
              <w:snapToGrid w:val="0"/>
              <w:spacing w:before="114"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230.2</w:t>
            </w:r>
          </w:p>
        </w:tc>
        <w:tc>
          <w:tcPr>
            <w:tcW w:w="1272" w:type="dxa"/>
            <w:vAlign w:val="top"/>
          </w:tcPr>
          <w:p w14:paraId="5FD75D34">
            <w:pPr>
              <w:keepNext w:val="0"/>
              <w:keepLines w:val="0"/>
              <w:pageBreakBefore w:val="0"/>
              <w:widowControl w:val="0"/>
              <w:kinsoku w:val="0"/>
              <w:wordWrap/>
              <w:overflowPunct/>
              <w:topLinePunct w:val="0"/>
              <w:autoSpaceDE w:val="0"/>
              <w:autoSpaceDN w:val="0"/>
              <w:bidi w:val="0"/>
              <w:adjustRightInd w:val="0"/>
              <w:snapToGrid w:val="0"/>
              <w:spacing w:before="114"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0.7</w:t>
            </w:r>
          </w:p>
        </w:tc>
        <w:tc>
          <w:tcPr>
            <w:tcW w:w="1271" w:type="dxa"/>
            <w:vAlign w:val="top"/>
          </w:tcPr>
          <w:p w14:paraId="1A794DCC">
            <w:pPr>
              <w:keepNext w:val="0"/>
              <w:keepLines w:val="0"/>
              <w:pageBreakBefore w:val="0"/>
              <w:widowControl w:val="0"/>
              <w:kinsoku w:val="0"/>
              <w:wordWrap/>
              <w:overflowPunct/>
              <w:topLinePunct w:val="0"/>
              <w:autoSpaceDE w:val="0"/>
              <w:autoSpaceDN w:val="0"/>
              <w:bidi w:val="0"/>
              <w:adjustRightInd w:val="0"/>
              <w:snapToGrid w:val="0"/>
              <w:spacing w:before="114" w:line="181" w:lineRule="auto"/>
              <w:ind w:left="4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1.84</w:t>
            </w:r>
          </w:p>
        </w:tc>
        <w:tc>
          <w:tcPr>
            <w:tcW w:w="1660" w:type="dxa"/>
            <w:vAlign w:val="top"/>
          </w:tcPr>
          <w:p w14:paraId="755712B8">
            <w:pPr>
              <w:keepNext w:val="0"/>
              <w:keepLines w:val="0"/>
              <w:pageBreakBefore w:val="0"/>
              <w:widowControl w:val="0"/>
              <w:kinsoku w:val="0"/>
              <w:wordWrap/>
              <w:overflowPunct/>
              <w:topLinePunct w:val="0"/>
              <w:autoSpaceDE w:val="0"/>
              <w:autoSpaceDN w:val="0"/>
              <w:bidi w:val="0"/>
              <w:adjustRightInd w:val="0"/>
              <w:snapToGrid w:val="0"/>
              <w:spacing w:before="114"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231.9</w:t>
            </w:r>
          </w:p>
        </w:tc>
        <w:tc>
          <w:tcPr>
            <w:tcW w:w="1272" w:type="dxa"/>
            <w:vAlign w:val="top"/>
          </w:tcPr>
          <w:p w14:paraId="53CEA48C">
            <w:pPr>
              <w:keepNext w:val="0"/>
              <w:keepLines w:val="0"/>
              <w:pageBreakBefore w:val="0"/>
              <w:widowControl w:val="0"/>
              <w:kinsoku w:val="0"/>
              <w:wordWrap/>
              <w:overflowPunct/>
              <w:topLinePunct w:val="0"/>
              <w:autoSpaceDE w:val="0"/>
              <w:autoSpaceDN w:val="0"/>
              <w:bidi w:val="0"/>
              <w:adjustRightInd w:val="0"/>
              <w:snapToGrid w:val="0"/>
              <w:spacing w:before="114"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2.4</w:t>
            </w:r>
          </w:p>
        </w:tc>
        <w:tc>
          <w:tcPr>
            <w:tcW w:w="1269" w:type="dxa"/>
            <w:vAlign w:val="top"/>
          </w:tcPr>
          <w:p w14:paraId="49E3AF7A">
            <w:pPr>
              <w:keepNext w:val="0"/>
              <w:keepLines w:val="0"/>
              <w:pageBreakBefore w:val="0"/>
              <w:widowControl w:val="0"/>
              <w:kinsoku w:val="0"/>
              <w:wordWrap/>
              <w:overflowPunct/>
              <w:topLinePunct w:val="0"/>
              <w:autoSpaceDE w:val="0"/>
              <w:autoSpaceDN w:val="0"/>
              <w:bidi w:val="0"/>
              <w:adjustRightInd w:val="0"/>
              <w:snapToGrid w:val="0"/>
              <w:spacing w:before="114"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13.62</w:t>
            </w:r>
          </w:p>
        </w:tc>
      </w:tr>
      <w:tr w14:paraId="2868D2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5A15C535">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230.3</w:t>
            </w:r>
          </w:p>
        </w:tc>
        <w:tc>
          <w:tcPr>
            <w:tcW w:w="1272" w:type="dxa"/>
            <w:vAlign w:val="top"/>
          </w:tcPr>
          <w:p w14:paraId="694C9FA9">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0.8</w:t>
            </w:r>
          </w:p>
        </w:tc>
        <w:tc>
          <w:tcPr>
            <w:tcW w:w="1271" w:type="dxa"/>
            <w:vAlign w:val="top"/>
          </w:tcPr>
          <w:p w14:paraId="2402BC8D">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1.89</w:t>
            </w:r>
          </w:p>
        </w:tc>
        <w:tc>
          <w:tcPr>
            <w:tcW w:w="1660" w:type="dxa"/>
            <w:vAlign w:val="top"/>
          </w:tcPr>
          <w:p w14:paraId="5D5273E9">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232.0</w:t>
            </w:r>
          </w:p>
        </w:tc>
        <w:tc>
          <w:tcPr>
            <w:tcW w:w="1272" w:type="dxa"/>
            <w:vAlign w:val="top"/>
          </w:tcPr>
          <w:p w14:paraId="34D61EB6">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2.5</w:t>
            </w:r>
          </w:p>
        </w:tc>
        <w:tc>
          <w:tcPr>
            <w:tcW w:w="1269" w:type="dxa"/>
            <w:vAlign w:val="top"/>
          </w:tcPr>
          <w:p w14:paraId="2598CFA2">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15.20</w:t>
            </w:r>
          </w:p>
        </w:tc>
      </w:tr>
      <w:tr w14:paraId="153A5A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67C6D596">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230.4</w:t>
            </w:r>
          </w:p>
        </w:tc>
        <w:tc>
          <w:tcPr>
            <w:tcW w:w="1272" w:type="dxa"/>
            <w:vAlign w:val="top"/>
          </w:tcPr>
          <w:p w14:paraId="2A67BBA3">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0.9</w:t>
            </w:r>
          </w:p>
        </w:tc>
        <w:tc>
          <w:tcPr>
            <w:tcW w:w="1271" w:type="dxa"/>
            <w:vAlign w:val="top"/>
          </w:tcPr>
          <w:p w14:paraId="7C486AD0">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1.93</w:t>
            </w:r>
          </w:p>
        </w:tc>
        <w:tc>
          <w:tcPr>
            <w:tcW w:w="1660" w:type="dxa"/>
            <w:vAlign w:val="top"/>
          </w:tcPr>
          <w:p w14:paraId="018CC998">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232.1</w:t>
            </w:r>
          </w:p>
        </w:tc>
        <w:tc>
          <w:tcPr>
            <w:tcW w:w="1272" w:type="dxa"/>
            <w:vAlign w:val="top"/>
          </w:tcPr>
          <w:p w14:paraId="774D1AB4">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2.6</w:t>
            </w:r>
          </w:p>
        </w:tc>
        <w:tc>
          <w:tcPr>
            <w:tcW w:w="1269" w:type="dxa"/>
            <w:vAlign w:val="top"/>
          </w:tcPr>
          <w:p w14:paraId="4315CFD5">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16.84</w:t>
            </w:r>
          </w:p>
        </w:tc>
      </w:tr>
      <w:tr w14:paraId="40D2E2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59EA0C18">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230.5</w:t>
            </w:r>
          </w:p>
        </w:tc>
        <w:tc>
          <w:tcPr>
            <w:tcW w:w="1272" w:type="dxa"/>
            <w:vAlign w:val="top"/>
          </w:tcPr>
          <w:p w14:paraId="0A9D1C65">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1.0</w:t>
            </w:r>
          </w:p>
        </w:tc>
        <w:tc>
          <w:tcPr>
            <w:tcW w:w="1271" w:type="dxa"/>
            <w:vAlign w:val="top"/>
          </w:tcPr>
          <w:p w14:paraId="21209D0C">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1.97</w:t>
            </w:r>
          </w:p>
        </w:tc>
        <w:tc>
          <w:tcPr>
            <w:tcW w:w="1660" w:type="dxa"/>
            <w:vAlign w:val="top"/>
          </w:tcPr>
          <w:p w14:paraId="7A307306">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232.2</w:t>
            </w:r>
          </w:p>
        </w:tc>
        <w:tc>
          <w:tcPr>
            <w:tcW w:w="1272" w:type="dxa"/>
            <w:vAlign w:val="top"/>
          </w:tcPr>
          <w:p w14:paraId="35BB3308">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2.7</w:t>
            </w:r>
          </w:p>
        </w:tc>
        <w:tc>
          <w:tcPr>
            <w:tcW w:w="1269" w:type="dxa"/>
            <w:vAlign w:val="top"/>
          </w:tcPr>
          <w:p w14:paraId="0A5FD390">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18.54</w:t>
            </w:r>
          </w:p>
        </w:tc>
      </w:tr>
      <w:tr w14:paraId="5B4F58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05753FBC">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230.6</w:t>
            </w:r>
          </w:p>
        </w:tc>
        <w:tc>
          <w:tcPr>
            <w:tcW w:w="1272" w:type="dxa"/>
            <w:vAlign w:val="top"/>
          </w:tcPr>
          <w:p w14:paraId="4BAB8644">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1.1</w:t>
            </w:r>
          </w:p>
        </w:tc>
        <w:tc>
          <w:tcPr>
            <w:tcW w:w="1271" w:type="dxa"/>
            <w:vAlign w:val="top"/>
          </w:tcPr>
          <w:p w14:paraId="0AD76D52">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1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2.01</w:t>
            </w:r>
          </w:p>
        </w:tc>
        <w:tc>
          <w:tcPr>
            <w:tcW w:w="1660" w:type="dxa"/>
            <w:vAlign w:val="top"/>
          </w:tcPr>
          <w:p w14:paraId="26A3D799">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232.3</w:t>
            </w:r>
          </w:p>
        </w:tc>
        <w:tc>
          <w:tcPr>
            <w:tcW w:w="1272" w:type="dxa"/>
            <w:vAlign w:val="top"/>
          </w:tcPr>
          <w:p w14:paraId="5CFB041C">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2.8</w:t>
            </w:r>
          </w:p>
        </w:tc>
        <w:tc>
          <w:tcPr>
            <w:tcW w:w="1269" w:type="dxa"/>
            <w:vAlign w:val="top"/>
          </w:tcPr>
          <w:p w14:paraId="357D4CD0">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20.30</w:t>
            </w:r>
          </w:p>
        </w:tc>
      </w:tr>
      <w:tr w14:paraId="77BA7E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7EBCE301">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230.7</w:t>
            </w:r>
          </w:p>
        </w:tc>
        <w:tc>
          <w:tcPr>
            <w:tcW w:w="1272" w:type="dxa"/>
            <w:vAlign w:val="top"/>
          </w:tcPr>
          <w:p w14:paraId="172E8D95">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1.2</w:t>
            </w:r>
          </w:p>
        </w:tc>
        <w:tc>
          <w:tcPr>
            <w:tcW w:w="1271" w:type="dxa"/>
            <w:vAlign w:val="top"/>
          </w:tcPr>
          <w:p w14:paraId="3FB503B2">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1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2.05</w:t>
            </w:r>
          </w:p>
        </w:tc>
        <w:tc>
          <w:tcPr>
            <w:tcW w:w="1660" w:type="dxa"/>
            <w:vAlign w:val="top"/>
          </w:tcPr>
          <w:p w14:paraId="0B6D135E">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232.4</w:t>
            </w:r>
          </w:p>
        </w:tc>
        <w:tc>
          <w:tcPr>
            <w:tcW w:w="1272" w:type="dxa"/>
            <w:vAlign w:val="top"/>
          </w:tcPr>
          <w:p w14:paraId="213EF1A8">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2.9</w:t>
            </w:r>
          </w:p>
        </w:tc>
        <w:tc>
          <w:tcPr>
            <w:tcW w:w="1269" w:type="dxa"/>
            <w:vAlign w:val="top"/>
          </w:tcPr>
          <w:p w14:paraId="18B4B4CC">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22.12</w:t>
            </w:r>
          </w:p>
        </w:tc>
      </w:tr>
      <w:tr w14:paraId="2E53D1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444532CD">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230.8</w:t>
            </w:r>
          </w:p>
        </w:tc>
        <w:tc>
          <w:tcPr>
            <w:tcW w:w="1272" w:type="dxa"/>
            <w:vAlign w:val="top"/>
          </w:tcPr>
          <w:p w14:paraId="42DE95EA">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1.3</w:t>
            </w:r>
          </w:p>
        </w:tc>
        <w:tc>
          <w:tcPr>
            <w:tcW w:w="1271" w:type="dxa"/>
            <w:vAlign w:val="top"/>
          </w:tcPr>
          <w:p w14:paraId="1F9D7FC3">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1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2.10</w:t>
            </w:r>
          </w:p>
        </w:tc>
        <w:tc>
          <w:tcPr>
            <w:tcW w:w="1660" w:type="dxa"/>
            <w:vAlign w:val="top"/>
          </w:tcPr>
          <w:p w14:paraId="09445536">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232.5</w:t>
            </w:r>
          </w:p>
        </w:tc>
        <w:tc>
          <w:tcPr>
            <w:tcW w:w="1272" w:type="dxa"/>
            <w:vAlign w:val="top"/>
          </w:tcPr>
          <w:p w14:paraId="1A38B76E">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3.0</w:t>
            </w:r>
          </w:p>
        </w:tc>
        <w:tc>
          <w:tcPr>
            <w:tcW w:w="1269" w:type="dxa"/>
            <w:vAlign w:val="top"/>
          </w:tcPr>
          <w:p w14:paraId="7A52FD7D">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24.00</w:t>
            </w:r>
          </w:p>
        </w:tc>
      </w:tr>
      <w:tr w14:paraId="65C355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3DAF1106">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230.9</w:t>
            </w:r>
          </w:p>
        </w:tc>
        <w:tc>
          <w:tcPr>
            <w:tcW w:w="1272" w:type="dxa"/>
            <w:vAlign w:val="top"/>
          </w:tcPr>
          <w:p w14:paraId="069DB421">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1.4</w:t>
            </w:r>
          </w:p>
        </w:tc>
        <w:tc>
          <w:tcPr>
            <w:tcW w:w="1271" w:type="dxa"/>
            <w:vAlign w:val="top"/>
          </w:tcPr>
          <w:p w14:paraId="37582FD9">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1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2.13</w:t>
            </w:r>
          </w:p>
        </w:tc>
        <w:tc>
          <w:tcPr>
            <w:tcW w:w="1660" w:type="dxa"/>
            <w:vAlign w:val="top"/>
          </w:tcPr>
          <w:p w14:paraId="1C87F1EE">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232.6</w:t>
            </w:r>
          </w:p>
        </w:tc>
        <w:tc>
          <w:tcPr>
            <w:tcW w:w="1272" w:type="dxa"/>
            <w:vAlign w:val="top"/>
          </w:tcPr>
          <w:p w14:paraId="6B1D18E6">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3.1</w:t>
            </w:r>
          </w:p>
        </w:tc>
        <w:tc>
          <w:tcPr>
            <w:tcW w:w="1269" w:type="dxa"/>
            <w:vAlign w:val="top"/>
          </w:tcPr>
          <w:p w14:paraId="394363BB">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25.93</w:t>
            </w:r>
          </w:p>
        </w:tc>
      </w:tr>
      <w:tr w14:paraId="1B5761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00C34101">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231.0</w:t>
            </w:r>
          </w:p>
        </w:tc>
        <w:tc>
          <w:tcPr>
            <w:tcW w:w="1272" w:type="dxa"/>
            <w:vAlign w:val="top"/>
          </w:tcPr>
          <w:p w14:paraId="021F4F73">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1.5</w:t>
            </w:r>
          </w:p>
        </w:tc>
        <w:tc>
          <w:tcPr>
            <w:tcW w:w="1271" w:type="dxa"/>
            <w:vAlign w:val="top"/>
          </w:tcPr>
          <w:p w14:paraId="295E19C1">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41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2.17</w:t>
            </w:r>
          </w:p>
        </w:tc>
        <w:tc>
          <w:tcPr>
            <w:tcW w:w="1660" w:type="dxa"/>
            <w:vAlign w:val="top"/>
          </w:tcPr>
          <w:p w14:paraId="2E5A2564">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232.7</w:t>
            </w:r>
          </w:p>
        </w:tc>
        <w:tc>
          <w:tcPr>
            <w:tcW w:w="1272" w:type="dxa"/>
            <w:vAlign w:val="top"/>
          </w:tcPr>
          <w:p w14:paraId="140A63A1">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4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3.2</w:t>
            </w:r>
          </w:p>
        </w:tc>
        <w:tc>
          <w:tcPr>
            <w:tcW w:w="1269" w:type="dxa"/>
            <w:vAlign w:val="top"/>
          </w:tcPr>
          <w:p w14:paraId="2AEE2917">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27.91</w:t>
            </w:r>
          </w:p>
        </w:tc>
      </w:tr>
      <w:tr w14:paraId="6D47AC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1671" w:type="dxa"/>
            <w:vAlign w:val="top"/>
          </w:tcPr>
          <w:p w14:paraId="24C9D763">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231.1</w:t>
            </w:r>
          </w:p>
        </w:tc>
        <w:tc>
          <w:tcPr>
            <w:tcW w:w="1272" w:type="dxa"/>
            <w:vAlign w:val="top"/>
          </w:tcPr>
          <w:p w14:paraId="2CF012AA">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1.6</w:t>
            </w:r>
          </w:p>
        </w:tc>
        <w:tc>
          <w:tcPr>
            <w:tcW w:w="1271" w:type="dxa"/>
            <w:vAlign w:val="top"/>
          </w:tcPr>
          <w:p w14:paraId="7A2DDC9A">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41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2.21</w:t>
            </w:r>
          </w:p>
        </w:tc>
        <w:tc>
          <w:tcPr>
            <w:tcW w:w="1660" w:type="dxa"/>
            <w:vAlign w:val="top"/>
          </w:tcPr>
          <w:p w14:paraId="315479A4">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232.8</w:t>
            </w:r>
          </w:p>
        </w:tc>
        <w:tc>
          <w:tcPr>
            <w:tcW w:w="1272" w:type="dxa"/>
            <w:vAlign w:val="top"/>
          </w:tcPr>
          <w:p w14:paraId="51D1315B">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4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3.3</w:t>
            </w:r>
          </w:p>
        </w:tc>
        <w:tc>
          <w:tcPr>
            <w:tcW w:w="1269" w:type="dxa"/>
            <w:vAlign w:val="top"/>
          </w:tcPr>
          <w:p w14:paraId="32940D61">
            <w:pPr>
              <w:keepNext w:val="0"/>
              <w:keepLines w:val="0"/>
              <w:pageBreakBefore w:val="0"/>
              <w:widowControl w:val="0"/>
              <w:kinsoku w:val="0"/>
              <w:wordWrap/>
              <w:overflowPunct/>
              <w:topLinePunct w:val="0"/>
              <w:autoSpaceDE w:val="0"/>
              <w:autoSpaceDN w:val="0"/>
              <w:bidi w:val="0"/>
              <w:adjustRightInd w:val="0"/>
              <w:snapToGrid w:val="0"/>
              <w:spacing w:before="119" w:line="181"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29.95</w:t>
            </w:r>
          </w:p>
        </w:tc>
      </w:tr>
    </w:tbl>
    <w:p w14:paraId="239E8900">
      <w:pPr>
        <w:numPr>
          <w:ilvl w:val="0"/>
          <w:numId w:val="0"/>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eastAsia="宋体" w:cs="Times New Roman"/>
          <w:kern w:val="2"/>
          <w:sz w:val="28"/>
          <w:szCs w:val="24"/>
          <w:lang w:val="en-US" w:eastAsia="zh-CN" w:bidi="ar-SA"/>
        </w:rPr>
        <w:t>10.</w:t>
      </w:r>
      <w:r>
        <w:rPr>
          <w:rFonts w:hint="eastAsia" w:ascii="Times New Roman" w:hAnsi="Times New Roman" w:cs="Times New Roman"/>
          <w:lang w:val="en-US" w:eastAsia="zh-CN"/>
        </w:rPr>
        <w:t>调洪库容</w:t>
      </w:r>
    </w:p>
    <w:p w14:paraId="7E3BDE9F">
      <w:pPr>
        <w:bidi w:val="0"/>
        <w:rPr>
          <w:rFonts w:hint="default" w:ascii="Times New Roman" w:hAnsi="Times New Roman" w:cs="Times New Roman"/>
        </w:rPr>
      </w:pPr>
      <w:r>
        <w:rPr>
          <w:rFonts w:hint="default" w:ascii="Times New Roman" w:hAnsi="Times New Roman" w:cs="Times New Roman"/>
        </w:rPr>
        <w:t>根据业主提供的现状测量图纸，尾矿库现状坝顶高程为 233.0m， 滩顶高程为 230.9m，库内水面高程为 229.</w:t>
      </w:r>
      <w:r>
        <w:rPr>
          <w:rFonts w:hint="eastAsia" w:ascii="Times New Roman" w:hAnsi="Times New Roman" w:cs="Times New Roman"/>
          <w:lang w:val="en-US" w:eastAsia="zh-CN"/>
        </w:rPr>
        <w:t>6</w:t>
      </w:r>
      <w:r>
        <w:rPr>
          <w:rFonts w:hint="default" w:ascii="Times New Roman" w:hAnsi="Times New Roman" w:cs="Times New Roman"/>
        </w:rPr>
        <w:t xml:space="preserve">5m，排水斜槽现状进水口高程为229.5m，溢洪道进水口底板高程为 231.0m，据此数据及地 形图计算尾矿库调洪库容，调洪库容见表 </w:t>
      </w:r>
      <w:r>
        <w:rPr>
          <w:rFonts w:hint="eastAsia" w:ascii="Times New Roman" w:hAnsi="Times New Roman" w:cs="Times New Roman"/>
          <w:lang w:val="en-US" w:eastAsia="zh-CN"/>
        </w:rPr>
        <w:t>5.3.2</w:t>
      </w:r>
      <w:r>
        <w:rPr>
          <w:rFonts w:hint="default" w:ascii="Times New Roman" w:hAnsi="Times New Roman" w:cs="Times New Roman"/>
        </w:rPr>
        <w:t>-10。</w:t>
      </w:r>
    </w:p>
    <w:p w14:paraId="5268E16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宋体" w:hAnsi="宋体" w:eastAsia="宋体" w:cs="宋体"/>
          <w:spacing w:val="-1"/>
          <w:sz w:val="28"/>
          <w:szCs w:val="28"/>
        </w:rPr>
      </w:pPr>
      <w:r>
        <w:rPr>
          <w:rFonts w:ascii="宋体" w:hAnsi="宋体" w:eastAsia="宋体" w:cs="宋体"/>
          <w:spacing w:val="-1"/>
          <w:sz w:val="28"/>
          <w:szCs w:val="28"/>
        </w:rPr>
        <w:t>表</w:t>
      </w:r>
      <w:r>
        <w:rPr>
          <w:rFonts w:hint="default" w:ascii="Times New Roman" w:hAnsi="Times New Roman" w:eastAsia="宋体" w:cs="Times New Roman"/>
          <w:spacing w:val="-1"/>
          <w:sz w:val="28"/>
          <w:szCs w:val="28"/>
          <w:lang w:val="en-US" w:eastAsia="zh-CN"/>
        </w:rPr>
        <w:t>5.3.2-10</w:t>
      </w:r>
      <w:r>
        <w:rPr>
          <w:rFonts w:hint="default" w:ascii="Times New Roman" w:hAnsi="Times New Roman" w:eastAsia="宋体" w:cs="Times New Roman"/>
          <w:spacing w:val="-1"/>
          <w:sz w:val="28"/>
          <w:szCs w:val="28"/>
        </w:rPr>
        <w:t xml:space="preserve"> </w:t>
      </w:r>
      <w:r>
        <w:rPr>
          <w:rFonts w:ascii="宋体" w:hAnsi="宋体" w:eastAsia="宋体" w:cs="宋体"/>
          <w:spacing w:val="-1"/>
          <w:sz w:val="28"/>
          <w:szCs w:val="28"/>
        </w:rPr>
        <w:t>尾矿库调洪库容</w:t>
      </w:r>
    </w:p>
    <w:tbl>
      <w:tblPr>
        <w:tblStyle w:val="27"/>
        <w:tblW w:w="8415"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71"/>
        <w:gridCol w:w="1272"/>
        <w:gridCol w:w="1271"/>
        <w:gridCol w:w="1660"/>
        <w:gridCol w:w="1272"/>
        <w:gridCol w:w="1269"/>
      </w:tblGrid>
      <w:tr w14:paraId="7FEBD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trPr>
        <w:tc>
          <w:tcPr>
            <w:tcW w:w="1671" w:type="dxa"/>
            <w:tcBorders>
              <w:tl2br w:val="nil"/>
              <w:tr2bl w:val="nil"/>
            </w:tcBorders>
            <w:vAlign w:val="top"/>
          </w:tcPr>
          <w:p w14:paraId="5860D3AA">
            <w:pPr>
              <w:keepNext w:val="0"/>
              <w:keepLines w:val="0"/>
              <w:pageBreakBefore w:val="0"/>
              <w:widowControl w:val="0"/>
              <w:kinsoku w:val="0"/>
              <w:wordWrap/>
              <w:overflowPunct/>
              <w:topLinePunct w:val="0"/>
              <w:autoSpaceDE w:val="0"/>
              <w:autoSpaceDN w:val="0"/>
              <w:bidi w:val="0"/>
              <w:adjustRightInd w:val="0"/>
              <w:snapToGrid w:val="0"/>
              <w:spacing w:before="194" w:line="217" w:lineRule="auto"/>
              <w:ind w:left="18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水位高程</w:t>
            </w:r>
            <w:r>
              <w:rPr>
                <w:rFonts w:ascii="仿宋" w:hAnsi="仿宋" w:eastAsia="仿宋" w:cs="仿宋"/>
                <w:snapToGrid w:val="0"/>
                <w:color w:val="000000"/>
                <w:spacing w:val="-61"/>
                <w:kern w:val="0"/>
                <w:sz w:val="24"/>
                <w:szCs w:val="24"/>
                <w:lang w:val="en-US" w:eastAsia="en-US" w:bidi="ar-SA"/>
              </w:rPr>
              <w:t xml:space="preserve"> </w:t>
            </w:r>
            <w:r>
              <w:rPr>
                <w:rFonts w:ascii="仿宋" w:hAnsi="仿宋" w:eastAsia="仿宋" w:cs="仿宋"/>
                <w:snapToGrid w:val="0"/>
                <w:color w:val="000000"/>
                <w:spacing w:val="-7"/>
                <w:kern w:val="0"/>
                <w:sz w:val="24"/>
                <w:szCs w:val="24"/>
                <w:lang w:val="en-US" w:eastAsia="en-US" w:bidi="ar-SA"/>
              </w:rPr>
              <w:t>(m)</w:t>
            </w:r>
          </w:p>
        </w:tc>
        <w:tc>
          <w:tcPr>
            <w:tcW w:w="1272" w:type="dxa"/>
            <w:tcBorders>
              <w:tl2br w:val="nil"/>
              <w:tr2bl w:val="nil"/>
            </w:tcBorders>
            <w:vAlign w:val="top"/>
          </w:tcPr>
          <w:p w14:paraId="5C80A52D">
            <w:pPr>
              <w:keepNext w:val="0"/>
              <w:keepLines w:val="0"/>
              <w:pageBreakBefore w:val="0"/>
              <w:widowControl w:val="0"/>
              <w:kinsoku w:val="0"/>
              <w:wordWrap/>
              <w:overflowPunct/>
              <w:topLinePunct w:val="0"/>
              <w:autoSpaceDE w:val="0"/>
              <w:autoSpaceDN w:val="0"/>
              <w:bidi w:val="0"/>
              <w:adjustRightInd w:val="0"/>
              <w:snapToGrid w:val="0"/>
              <w:spacing w:before="38" w:line="218" w:lineRule="auto"/>
              <w:ind w:left="16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en-US" w:bidi="ar-SA"/>
              </w:rPr>
              <w:t>调洪深度</w:t>
            </w:r>
          </w:p>
          <w:p w14:paraId="7BB7E38D">
            <w:pPr>
              <w:keepNext w:val="0"/>
              <w:keepLines w:val="0"/>
              <w:pageBreakBefore w:val="0"/>
              <w:widowControl w:val="0"/>
              <w:kinsoku w:val="0"/>
              <w:wordWrap/>
              <w:overflowPunct/>
              <w:topLinePunct w:val="0"/>
              <w:autoSpaceDE w:val="0"/>
              <w:autoSpaceDN w:val="0"/>
              <w:bidi w:val="0"/>
              <w:adjustRightInd w:val="0"/>
              <w:snapToGrid w:val="0"/>
              <w:spacing w:before="28" w:line="207" w:lineRule="auto"/>
              <w:ind w:left="33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（m）</w:t>
            </w:r>
          </w:p>
        </w:tc>
        <w:tc>
          <w:tcPr>
            <w:tcW w:w="1271" w:type="dxa"/>
            <w:tcBorders>
              <w:tl2br w:val="nil"/>
              <w:tr2bl w:val="nil"/>
            </w:tcBorders>
            <w:vAlign w:val="top"/>
          </w:tcPr>
          <w:p w14:paraId="26EB4E5E">
            <w:pPr>
              <w:keepNext w:val="0"/>
              <w:keepLines w:val="0"/>
              <w:pageBreakBefore w:val="0"/>
              <w:widowControl w:val="0"/>
              <w:kinsoku w:val="0"/>
              <w:wordWrap/>
              <w:overflowPunct/>
              <w:topLinePunct w:val="0"/>
              <w:autoSpaceDE w:val="0"/>
              <w:autoSpaceDN w:val="0"/>
              <w:bidi w:val="0"/>
              <w:adjustRightInd w:val="0"/>
              <w:snapToGrid w:val="0"/>
              <w:spacing w:before="37" w:line="224" w:lineRule="auto"/>
              <w:ind w:left="341" w:right="15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调洪库容</w:t>
            </w:r>
            <w:r>
              <w:rPr>
                <w:rFonts w:ascii="仿宋" w:hAnsi="仿宋" w:eastAsia="仿宋" w:cs="仿宋"/>
                <w:snapToGrid w:val="0"/>
                <w:color w:val="000000"/>
                <w:spacing w:val="1"/>
                <w:kern w:val="0"/>
                <w:sz w:val="24"/>
                <w:szCs w:val="24"/>
                <w:lang w:val="en-US" w:eastAsia="en-US" w:bidi="ar-SA"/>
              </w:rPr>
              <w:t xml:space="preserve"> </w:t>
            </w:r>
            <w:r>
              <w:rPr>
                <w:rFonts w:ascii="仿宋" w:hAnsi="仿宋" w:eastAsia="仿宋" w:cs="仿宋"/>
                <w:snapToGrid w:val="0"/>
                <w:color w:val="000000"/>
                <w:spacing w:val="-5"/>
                <w:kern w:val="0"/>
                <w:sz w:val="24"/>
                <w:szCs w:val="24"/>
                <w:lang w:val="en-US" w:eastAsia="en-US" w:bidi="ar-SA"/>
              </w:rPr>
              <w:t>V</w:t>
            </w:r>
            <w:r>
              <w:rPr>
                <w:rFonts w:ascii="仿宋" w:hAnsi="仿宋" w:eastAsia="仿宋" w:cs="仿宋"/>
                <w:snapToGrid w:val="0"/>
                <w:color w:val="000000"/>
                <w:spacing w:val="-5"/>
                <w:kern w:val="0"/>
                <w:position w:val="-2"/>
                <w:sz w:val="12"/>
                <w:szCs w:val="12"/>
                <w:lang w:val="en-US" w:eastAsia="en-US" w:bidi="ar-SA"/>
              </w:rPr>
              <w:t>t</w:t>
            </w:r>
            <w:r>
              <w:rPr>
                <w:rFonts w:ascii="仿宋" w:hAnsi="仿宋" w:eastAsia="仿宋" w:cs="仿宋"/>
                <w:snapToGrid w:val="0"/>
                <w:color w:val="000000"/>
                <w:kern w:val="0"/>
                <w:position w:val="-2"/>
                <w:sz w:val="12"/>
                <w:szCs w:val="12"/>
                <w:lang w:val="en-US" w:eastAsia="en-US" w:bidi="ar-SA"/>
              </w:rPr>
              <w:t xml:space="preserve"> </w:t>
            </w:r>
            <w:r>
              <w:rPr>
                <w:rFonts w:ascii="仿宋" w:hAnsi="仿宋" w:eastAsia="仿宋" w:cs="仿宋"/>
                <w:snapToGrid w:val="0"/>
                <w:color w:val="000000"/>
                <w:spacing w:val="-11"/>
                <w:w w:val="84"/>
                <w:kern w:val="0"/>
                <w:sz w:val="24"/>
                <w:szCs w:val="24"/>
                <w:lang w:val="en-US" w:eastAsia="en-US" w:bidi="ar-SA"/>
              </w:rPr>
              <w:t>(m</w:t>
            </w:r>
            <w:r>
              <w:rPr>
                <w:rFonts w:ascii="仿宋" w:hAnsi="仿宋" w:eastAsia="仿宋" w:cs="仿宋"/>
                <w:snapToGrid w:val="0"/>
                <w:color w:val="000000"/>
                <w:kern w:val="0"/>
                <w:position w:val="11"/>
                <w:sz w:val="12"/>
                <w:szCs w:val="12"/>
                <w:lang w:val="en-US" w:eastAsia="en-US" w:bidi="ar-SA"/>
              </w:rPr>
              <w:t>3</w:t>
            </w:r>
            <w:r>
              <w:rPr>
                <w:rFonts w:ascii="仿宋" w:hAnsi="仿宋" w:eastAsia="仿宋" w:cs="仿宋"/>
                <w:snapToGrid w:val="0"/>
                <w:color w:val="000000"/>
                <w:kern w:val="0"/>
                <w:sz w:val="24"/>
                <w:szCs w:val="24"/>
                <w:lang w:val="en-US" w:eastAsia="en-US" w:bidi="ar-SA"/>
              </w:rPr>
              <w:t>)</w:t>
            </w:r>
          </w:p>
        </w:tc>
        <w:tc>
          <w:tcPr>
            <w:tcW w:w="1660" w:type="dxa"/>
            <w:tcBorders>
              <w:tl2br w:val="nil"/>
              <w:tr2bl w:val="nil"/>
            </w:tcBorders>
            <w:vAlign w:val="top"/>
          </w:tcPr>
          <w:p w14:paraId="4131E079">
            <w:pPr>
              <w:keepNext w:val="0"/>
              <w:keepLines w:val="0"/>
              <w:pageBreakBefore w:val="0"/>
              <w:widowControl w:val="0"/>
              <w:kinsoku w:val="0"/>
              <w:wordWrap/>
              <w:overflowPunct/>
              <w:topLinePunct w:val="0"/>
              <w:autoSpaceDE w:val="0"/>
              <w:autoSpaceDN w:val="0"/>
              <w:bidi w:val="0"/>
              <w:adjustRightInd w:val="0"/>
              <w:snapToGrid w:val="0"/>
              <w:spacing w:before="194" w:line="217" w:lineRule="auto"/>
              <w:ind w:left="1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水位高程</w:t>
            </w:r>
            <w:r>
              <w:rPr>
                <w:rFonts w:ascii="仿宋" w:hAnsi="仿宋" w:eastAsia="仿宋" w:cs="仿宋"/>
                <w:snapToGrid w:val="0"/>
                <w:color w:val="000000"/>
                <w:spacing w:val="-60"/>
                <w:kern w:val="0"/>
                <w:sz w:val="24"/>
                <w:szCs w:val="24"/>
                <w:lang w:val="en-US" w:eastAsia="en-US" w:bidi="ar-SA"/>
              </w:rPr>
              <w:t xml:space="preserve"> </w:t>
            </w:r>
            <w:r>
              <w:rPr>
                <w:rFonts w:ascii="仿宋" w:hAnsi="仿宋" w:eastAsia="仿宋" w:cs="仿宋"/>
                <w:snapToGrid w:val="0"/>
                <w:color w:val="000000"/>
                <w:spacing w:val="-7"/>
                <w:kern w:val="0"/>
                <w:sz w:val="24"/>
                <w:szCs w:val="24"/>
                <w:lang w:val="en-US" w:eastAsia="en-US" w:bidi="ar-SA"/>
              </w:rPr>
              <w:t>(m)</w:t>
            </w:r>
          </w:p>
        </w:tc>
        <w:tc>
          <w:tcPr>
            <w:tcW w:w="1272" w:type="dxa"/>
            <w:tcBorders>
              <w:tl2br w:val="nil"/>
              <w:tr2bl w:val="nil"/>
            </w:tcBorders>
            <w:vAlign w:val="top"/>
          </w:tcPr>
          <w:p w14:paraId="0DE1C792">
            <w:pPr>
              <w:keepNext w:val="0"/>
              <w:keepLines w:val="0"/>
              <w:pageBreakBefore w:val="0"/>
              <w:widowControl w:val="0"/>
              <w:kinsoku w:val="0"/>
              <w:wordWrap/>
              <w:overflowPunct/>
              <w:topLinePunct w:val="0"/>
              <w:autoSpaceDE w:val="0"/>
              <w:autoSpaceDN w:val="0"/>
              <w:bidi w:val="0"/>
              <w:adjustRightInd w:val="0"/>
              <w:snapToGrid w:val="0"/>
              <w:spacing w:before="38" w:line="218" w:lineRule="auto"/>
              <w:ind w:left="16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en-US" w:bidi="ar-SA"/>
              </w:rPr>
              <w:t>调洪深度</w:t>
            </w:r>
          </w:p>
          <w:p w14:paraId="43EC3728">
            <w:pPr>
              <w:keepNext w:val="0"/>
              <w:keepLines w:val="0"/>
              <w:pageBreakBefore w:val="0"/>
              <w:widowControl w:val="0"/>
              <w:kinsoku w:val="0"/>
              <w:wordWrap/>
              <w:overflowPunct/>
              <w:topLinePunct w:val="0"/>
              <w:autoSpaceDE w:val="0"/>
              <w:autoSpaceDN w:val="0"/>
              <w:bidi w:val="0"/>
              <w:adjustRightInd w:val="0"/>
              <w:snapToGrid w:val="0"/>
              <w:spacing w:before="28" w:line="207" w:lineRule="auto"/>
              <w:ind w:left="33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（m）</w:t>
            </w:r>
          </w:p>
        </w:tc>
        <w:tc>
          <w:tcPr>
            <w:tcW w:w="1269" w:type="dxa"/>
            <w:tcBorders>
              <w:tl2br w:val="nil"/>
              <w:tr2bl w:val="nil"/>
            </w:tcBorders>
            <w:vAlign w:val="top"/>
          </w:tcPr>
          <w:p w14:paraId="707AEEE3">
            <w:pPr>
              <w:keepNext w:val="0"/>
              <w:keepLines w:val="0"/>
              <w:pageBreakBefore w:val="0"/>
              <w:widowControl w:val="0"/>
              <w:kinsoku w:val="0"/>
              <w:wordWrap/>
              <w:overflowPunct/>
              <w:topLinePunct w:val="0"/>
              <w:autoSpaceDE w:val="0"/>
              <w:autoSpaceDN w:val="0"/>
              <w:bidi w:val="0"/>
              <w:adjustRightInd w:val="0"/>
              <w:snapToGrid w:val="0"/>
              <w:spacing w:before="37" w:line="224" w:lineRule="auto"/>
              <w:ind w:left="337" w:right="15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调洪库容</w:t>
            </w:r>
            <w:r>
              <w:rPr>
                <w:rFonts w:ascii="仿宋" w:hAnsi="仿宋" w:eastAsia="仿宋" w:cs="仿宋"/>
                <w:snapToGrid w:val="0"/>
                <w:color w:val="000000"/>
                <w:spacing w:val="1"/>
                <w:kern w:val="0"/>
                <w:sz w:val="24"/>
                <w:szCs w:val="24"/>
                <w:lang w:val="en-US" w:eastAsia="en-US" w:bidi="ar-SA"/>
              </w:rPr>
              <w:t xml:space="preserve"> </w:t>
            </w:r>
            <w:r>
              <w:rPr>
                <w:rFonts w:ascii="仿宋" w:hAnsi="仿宋" w:eastAsia="仿宋" w:cs="仿宋"/>
                <w:snapToGrid w:val="0"/>
                <w:color w:val="000000"/>
                <w:spacing w:val="-5"/>
                <w:kern w:val="0"/>
                <w:sz w:val="24"/>
                <w:szCs w:val="24"/>
                <w:lang w:val="en-US" w:eastAsia="en-US" w:bidi="ar-SA"/>
              </w:rPr>
              <w:t>V</w:t>
            </w:r>
            <w:r>
              <w:rPr>
                <w:rFonts w:ascii="仿宋" w:hAnsi="仿宋" w:eastAsia="仿宋" w:cs="仿宋"/>
                <w:snapToGrid w:val="0"/>
                <w:color w:val="000000"/>
                <w:spacing w:val="-5"/>
                <w:kern w:val="0"/>
                <w:position w:val="-2"/>
                <w:sz w:val="12"/>
                <w:szCs w:val="12"/>
                <w:lang w:val="en-US" w:eastAsia="en-US" w:bidi="ar-SA"/>
              </w:rPr>
              <w:t>t</w:t>
            </w:r>
            <w:r>
              <w:rPr>
                <w:rFonts w:ascii="仿宋" w:hAnsi="仿宋" w:eastAsia="仿宋" w:cs="仿宋"/>
                <w:snapToGrid w:val="0"/>
                <w:color w:val="000000"/>
                <w:kern w:val="0"/>
                <w:position w:val="-2"/>
                <w:sz w:val="12"/>
                <w:szCs w:val="12"/>
                <w:lang w:val="en-US" w:eastAsia="en-US" w:bidi="ar-SA"/>
              </w:rPr>
              <w:t xml:space="preserve"> </w:t>
            </w:r>
            <w:r>
              <w:rPr>
                <w:rFonts w:ascii="仿宋" w:hAnsi="仿宋" w:eastAsia="仿宋" w:cs="仿宋"/>
                <w:snapToGrid w:val="0"/>
                <w:color w:val="000000"/>
                <w:spacing w:val="-11"/>
                <w:w w:val="84"/>
                <w:kern w:val="0"/>
                <w:sz w:val="24"/>
                <w:szCs w:val="24"/>
                <w:lang w:val="en-US" w:eastAsia="en-US" w:bidi="ar-SA"/>
              </w:rPr>
              <w:t>(m</w:t>
            </w:r>
            <w:r>
              <w:rPr>
                <w:rFonts w:ascii="仿宋" w:hAnsi="仿宋" w:eastAsia="仿宋" w:cs="仿宋"/>
                <w:snapToGrid w:val="0"/>
                <w:color w:val="000000"/>
                <w:kern w:val="0"/>
                <w:position w:val="11"/>
                <w:sz w:val="12"/>
                <w:szCs w:val="12"/>
                <w:lang w:val="en-US" w:eastAsia="en-US" w:bidi="ar-SA"/>
              </w:rPr>
              <w:t>3</w:t>
            </w:r>
            <w:r>
              <w:rPr>
                <w:rFonts w:ascii="仿宋" w:hAnsi="仿宋" w:eastAsia="仿宋" w:cs="仿宋"/>
                <w:snapToGrid w:val="0"/>
                <w:color w:val="000000"/>
                <w:kern w:val="0"/>
                <w:sz w:val="24"/>
                <w:szCs w:val="24"/>
                <w:lang w:val="en-US" w:eastAsia="en-US" w:bidi="ar-SA"/>
              </w:rPr>
              <w:t>)</w:t>
            </w:r>
          </w:p>
        </w:tc>
      </w:tr>
      <w:tr w14:paraId="76667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 w:hRule="atLeast"/>
        </w:trPr>
        <w:tc>
          <w:tcPr>
            <w:tcW w:w="1671" w:type="dxa"/>
            <w:tcBorders>
              <w:tl2br w:val="nil"/>
              <w:tr2bl w:val="nil"/>
            </w:tcBorders>
            <w:vAlign w:val="top"/>
          </w:tcPr>
          <w:p w14:paraId="747A2955">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229.5</w:t>
            </w:r>
          </w:p>
        </w:tc>
        <w:tc>
          <w:tcPr>
            <w:tcW w:w="1272" w:type="dxa"/>
            <w:tcBorders>
              <w:tl2br w:val="nil"/>
              <w:tr2bl w:val="nil"/>
            </w:tcBorders>
            <w:vAlign w:val="top"/>
          </w:tcPr>
          <w:p w14:paraId="661C4D2D">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9"/>
                <w:kern w:val="0"/>
                <w:sz w:val="24"/>
                <w:szCs w:val="24"/>
                <w:lang w:val="en-US" w:eastAsia="en-US" w:bidi="ar-SA"/>
              </w:rPr>
              <w:t>0.0</w:t>
            </w:r>
          </w:p>
        </w:tc>
        <w:tc>
          <w:tcPr>
            <w:tcW w:w="1271" w:type="dxa"/>
            <w:tcBorders>
              <w:tl2br w:val="nil"/>
              <w:tr2bl w:val="nil"/>
            </w:tcBorders>
            <w:vAlign w:val="top"/>
          </w:tcPr>
          <w:p w14:paraId="32C325D4">
            <w:pPr>
              <w:keepNext w:val="0"/>
              <w:keepLines w:val="0"/>
              <w:pageBreakBefore w:val="0"/>
              <w:widowControl w:val="0"/>
              <w:kinsoku w:val="0"/>
              <w:wordWrap/>
              <w:overflowPunct/>
              <w:topLinePunct w:val="0"/>
              <w:autoSpaceDE w:val="0"/>
              <w:autoSpaceDN w:val="0"/>
              <w:bidi w:val="0"/>
              <w:adjustRightInd w:val="0"/>
              <w:snapToGrid w:val="0"/>
              <w:spacing w:before="115" w:line="179" w:lineRule="auto"/>
              <w:ind w:left="59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0</w:t>
            </w:r>
          </w:p>
        </w:tc>
        <w:tc>
          <w:tcPr>
            <w:tcW w:w="1660" w:type="dxa"/>
            <w:tcBorders>
              <w:tl2br w:val="nil"/>
              <w:tr2bl w:val="nil"/>
            </w:tcBorders>
            <w:vAlign w:val="top"/>
          </w:tcPr>
          <w:p w14:paraId="193C759E">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231.2</w:t>
            </w:r>
          </w:p>
        </w:tc>
        <w:tc>
          <w:tcPr>
            <w:tcW w:w="1272" w:type="dxa"/>
            <w:tcBorders>
              <w:tl2br w:val="nil"/>
              <w:tr2bl w:val="nil"/>
            </w:tcBorders>
            <w:vAlign w:val="top"/>
          </w:tcPr>
          <w:p w14:paraId="64D3C97C">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1.7</w:t>
            </w:r>
          </w:p>
        </w:tc>
        <w:tc>
          <w:tcPr>
            <w:tcW w:w="1269" w:type="dxa"/>
            <w:tcBorders>
              <w:tl2br w:val="nil"/>
              <w:tr2bl w:val="nil"/>
            </w:tcBorders>
            <w:vAlign w:val="top"/>
          </w:tcPr>
          <w:p w14:paraId="067F8964">
            <w:pPr>
              <w:keepNext w:val="0"/>
              <w:keepLines w:val="0"/>
              <w:pageBreakBefore w:val="0"/>
              <w:widowControl w:val="0"/>
              <w:kinsoku w:val="0"/>
              <w:wordWrap/>
              <w:overflowPunct/>
              <w:topLinePunct w:val="0"/>
              <w:autoSpaceDE w:val="0"/>
              <w:autoSpaceDN w:val="0"/>
              <w:bidi w:val="0"/>
              <w:adjustRightInd w:val="0"/>
              <w:snapToGrid w:val="0"/>
              <w:spacing w:before="115" w:line="179"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12359</w:t>
            </w:r>
          </w:p>
        </w:tc>
      </w:tr>
      <w:tr w14:paraId="4F111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1671" w:type="dxa"/>
            <w:tcBorders>
              <w:tl2br w:val="nil"/>
              <w:tr2bl w:val="nil"/>
            </w:tcBorders>
            <w:vAlign w:val="top"/>
          </w:tcPr>
          <w:p w14:paraId="11ADAEE5">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229.6</w:t>
            </w:r>
          </w:p>
        </w:tc>
        <w:tc>
          <w:tcPr>
            <w:tcW w:w="1272" w:type="dxa"/>
            <w:tcBorders>
              <w:tl2br w:val="nil"/>
              <w:tr2bl w:val="nil"/>
            </w:tcBorders>
            <w:vAlign w:val="top"/>
          </w:tcPr>
          <w:p w14:paraId="2D04CFCB">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0.1</w:t>
            </w:r>
          </w:p>
        </w:tc>
        <w:tc>
          <w:tcPr>
            <w:tcW w:w="1271" w:type="dxa"/>
            <w:tcBorders>
              <w:tl2br w:val="nil"/>
              <w:tr2bl w:val="nil"/>
            </w:tcBorders>
            <w:vAlign w:val="top"/>
          </w:tcPr>
          <w:p w14:paraId="567C0690">
            <w:pPr>
              <w:keepNext w:val="0"/>
              <w:keepLines w:val="0"/>
              <w:pageBreakBefore w:val="0"/>
              <w:widowControl w:val="0"/>
              <w:kinsoku w:val="0"/>
              <w:wordWrap/>
              <w:overflowPunct/>
              <w:topLinePunct w:val="0"/>
              <w:autoSpaceDE w:val="0"/>
              <w:autoSpaceDN w:val="0"/>
              <w:bidi w:val="0"/>
              <w:adjustRightInd w:val="0"/>
              <w:snapToGrid w:val="0"/>
              <w:spacing w:before="113" w:line="179" w:lineRule="auto"/>
              <w:ind w:left="53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54</w:t>
            </w:r>
          </w:p>
        </w:tc>
        <w:tc>
          <w:tcPr>
            <w:tcW w:w="1660" w:type="dxa"/>
            <w:tcBorders>
              <w:tl2br w:val="nil"/>
              <w:tr2bl w:val="nil"/>
            </w:tcBorders>
            <w:vAlign w:val="top"/>
          </w:tcPr>
          <w:p w14:paraId="7AD64A03">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231.3</w:t>
            </w:r>
          </w:p>
        </w:tc>
        <w:tc>
          <w:tcPr>
            <w:tcW w:w="1272" w:type="dxa"/>
            <w:tcBorders>
              <w:tl2br w:val="nil"/>
              <w:tr2bl w:val="nil"/>
            </w:tcBorders>
            <w:vAlign w:val="top"/>
          </w:tcPr>
          <w:p w14:paraId="742075E7">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1.8</w:t>
            </w:r>
          </w:p>
        </w:tc>
        <w:tc>
          <w:tcPr>
            <w:tcW w:w="1269" w:type="dxa"/>
            <w:tcBorders>
              <w:tl2br w:val="nil"/>
              <w:tr2bl w:val="nil"/>
            </w:tcBorders>
            <w:vAlign w:val="top"/>
          </w:tcPr>
          <w:p w14:paraId="0C15D203">
            <w:pPr>
              <w:keepNext w:val="0"/>
              <w:keepLines w:val="0"/>
              <w:pageBreakBefore w:val="0"/>
              <w:widowControl w:val="0"/>
              <w:kinsoku w:val="0"/>
              <w:wordWrap/>
              <w:overflowPunct/>
              <w:topLinePunct w:val="0"/>
              <w:autoSpaceDE w:val="0"/>
              <w:autoSpaceDN w:val="0"/>
              <w:bidi w:val="0"/>
              <w:adjustRightInd w:val="0"/>
              <w:snapToGrid w:val="0"/>
              <w:spacing w:before="113" w:line="179"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13746</w:t>
            </w:r>
          </w:p>
        </w:tc>
      </w:tr>
      <w:tr w14:paraId="657DA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 w:hRule="atLeast"/>
        </w:trPr>
        <w:tc>
          <w:tcPr>
            <w:tcW w:w="1671" w:type="dxa"/>
            <w:tcBorders>
              <w:tl2br w:val="nil"/>
              <w:tr2bl w:val="nil"/>
            </w:tcBorders>
            <w:vAlign w:val="top"/>
          </w:tcPr>
          <w:p w14:paraId="47EB6653">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229.7</w:t>
            </w:r>
          </w:p>
        </w:tc>
        <w:tc>
          <w:tcPr>
            <w:tcW w:w="1272" w:type="dxa"/>
            <w:tcBorders>
              <w:tl2br w:val="nil"/>
              <w:tr2bl w:val="nil"/>
            </w:tcBorders>
            <w:vAlign w:val="top"/>
          </w:tcPr>
          <w:p w14:paraId="1F9162EC">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0.2</w:t>
            </w:r>
          </w:p>
        </w:tc>
        <w:tc>
          <w:tcPr>
            <w:tcW w:w="1271" w:type="dxa"/>
            <w:tcBorders>
              <w:tl2br w:val="nil"/>
              <w:tr2bl w:val="nil"/>
            </w:tcBorders>
            <w:vAlign w:val="top"/>
          </w:tcPr>
          <w:p w14:paraId="6D17A725">
            <w:pPr>
              <w:keepNext w:val="0"/>
              <w:keepLines w:val="0"/>
              <w:pageBreakBefore w:val="0"/>
              <w:widowControl w:val="0"/>
              <w:kinsoku w:val="0"/>
              <w:wordWrap/>
              <w:overflowPunct/>
              <w:topLinePunct w:val="0"/>
              <w:autoSpaceDE w:val="0"/>
              <w:autoSpaceDN w:val="0"/>
              <w:bidi w:val="0"/>
              <w:adjustRightInd w:val="0"/>
              <w:snapToGrid w:val="0"/>
              <w:spacing w:before="116" w:line="179"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182</w:t>
            </w:r>
          </w:p>
        </w:tc>
        <w:tc>
          <w:tcPr>
            <w:tcW w:w="1660" w:type="dxa"/>
            <w:tcBorders>
              <w:tl2br w:val="nil"/>
              <w:tr2bl w:val="nil"/>
            </w:tcBorders>
            <w:vAlign w:val="top"/>
          </w:tcPr>
          <w:p w14:paraId="59AF16DF">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231.4</w:t>
            </w:r>
          </w:p>
        </w:tc>
        <w:tc>
          <w:tcPr>
            <w:tcW w:w="1272" w:type="dxa"/>
            <w:tcBorders>
              <w:tl2br w:val="nil"/>
              <w:tr2bl w:val="nil"/>
            </w:tcBorders>
            <w:vAlign w:val="top"/>
          </w:tcPr>
          <w:p w14:paraId="3377F459">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8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1.9</w:t>
            </w:r>
          </w:p>
        </w:tc>
        <w:tc>
          <w:tcPr>
            <w:tcW w:w="1269" w:type="dxa"/>
            <w:tcBorders>
              <w:tl2br w:val="nil"/>
              <w:tr2bl w:val="nil"/>
            </w:tcBorders>
            <w:vAlign w:val="top"/>
          </w:tcPr>
          <w:p w14:paraId="59DA2608">
            <w:pPr>
              <w:keepNext w:val="0"/>
              <w:keepLines w:val="0"/>
              <w:pageBreakBefore w:val="0"/>
              <w:widowControl w:val="0"/>
              <w:kinsoku w:val="0"/>
              <w:wordWrap/>
              <w:overflowPunct/>
              <w:topLinePunct w:val="0"/>
              <w:autoSpaceDE w:val="0"/>
              <w:autoSpaceDN w:val="0"/>
              <w:bidi w:val="0"/>
              <w:adjustRightInd w:val="0"/>
              <w:snapToGrid w:val="0"/>
              <w:spacing w:before="116" w:line="179"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15146</w:t>
            </w:r>
          </w:p>
        </w:tc>
      </w:tr>
      <w:tr w14:paraId="00B31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 w:hRule="atLeast"/>
        </w:trPr>
        <w:tc>
          <w:tcPr>
            <w:tcW w:w="1671" w:type="dxa"/>
            <w:tcBorders>
              <w:tl2br w:val="nil"/>
              <w:tr2bl w:val="nil"/>
            </w:tcBorders>
            <w:vAlign w:val="top"/>
          </w:tcPr>
          <w:p w14:paraId="06506C31">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229.8</w:t>
            </w:r>
          </w:p>
        </w:tc>
        <w:tc>
          <w:tcPr>
            <w:tcW w:w="1272" w:type="dxa"/>
            <w:tcBorders>
              <w:tl2br w:val="nil"/>
              <w:tr2bl w:val="nil"/>
            </w:tcBorders>
            <w:vAlign w:val="top"/>
          </w:tcPr>
          <w:p w14:paraId="0607E694">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0.3</w:t>
            </w:r>
          </w:p>
        </w:tc>
        <w:tc>
          <w:tcPr>
            <w:tcW w:w="1271" w:type="dxa"/>
            <w:tcBorders>
              <w:tl2br w:val="nil"/>
              <w:tr2bl w:val="nil"/>
            </w:tcBorders>
            <w:vAlign w:val="top"/>
          </w:tcPr>
          <w:p w14:paraId="7D23E5D1">
            <w:pPr>
              <w:keepNext w:val="0"/>
              <w:keepLines w:val="0"/>
              <w:pageBreakBefore w:val="0"/>
              <w:widowControl w:val="0"/>
              <w:kinsoku w:val="0"/>
              <w:wordWrap/>
              <w:overflowPunct/>
              <w:topLinePunct w:val="0"/>
              <w:autoSpaceDE w:val="0"/>
              <w:autoSpaceDN w:val="0"/>
              <w:bidi w:val="0"/>
              <w:adjustRightInd w:val="0"/>
              <w:snapToGrid w:val="0"/>
              <w:spacing w:before="117" w:line="179" w:lineRule="auto"/>
              <w:ind w:left="48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368</w:t>
            </w:r>
          </w:p>
        </w:tc>
        <w:tc>
          <w:tcPr>
            <w:tcW w:w="1660" w:type="dxa"/>
            <w:tcBorders>
              <w:tl2br w:val="nil"/>
              <w:tr2bl w:val="nil"/>
            </w:tcBorders>
            <w:vAlign w:val="top"/>
          </w:tcPr>
          <w:p w14:paraId="0F9129BA">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231.5</w:t>
            </w:r>
          </w:p>
        </w:tc>
        <w:tc>
          <w:tcPr>
            <w:tcW w:w="1272" w:type="dxa"/>
            <w:tcBorders>
              <w:tl2br w:val="nil"/>
              <w:tr2bl w:val="nil"/>
            </w:tcBorders>
            <w:vAlign w:val="top"/>
          </w:tcPr>
          <w:p w14:paraId="0887EE2F">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2.0</w:t>
            </w:r>
          </w:p>
        </w:tc>
        <w:tc>
          <w:tcPr>
            <w:tcW w:w="1269" w:type="dxa"/>
            <w:tcBorders>
              <w:tl2br w:val="nil"/>
              <w:tr2bl w:val="nil"/>
            </w:tcBorders>
            <w:vAlign w:val="top"/>
          </w:tcPr>
          <w:p w14:paraId="5F4026FC">
            <w:pPr>
              <w:keepNext w:val="0"/>
              <w:keepLines w:val="0"/>
              <w:pageBreakBefore w:val="0"/>
              <w:widowControl w:val="0"/>
              <w:kinsoku w:val="0"/>
              <w:wordWrap/>
              <w:overflowPunct/>
              <w:topLinePunct w:val="0"/>
              <w:autoSpaceDE w:val="0"/>
              <w:autoSpaceDN w:val="0"/>
              <w:bidi w:val="0"/>
              <w:adjustRightInd w:val="0"/>
              <w:snapToGrid w:val="0"/>
              <w:spacing w:before="117" w:line="179"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16556</w:t>
            </w:r>
          </w:p>
        </w:tc>
      </w:tr>
      <w:tr w14:paraId="64CB2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4" w:hRule="atLeast"/>
        </w:trPr>
        <w:tc>
          <w:tcPr>
            <w:tcW w:w="1671" w:type="dxa"/>
            <w:tcBorders>
              <w:tl2br w:val="nil"/>
              <w:tr2bl w:val="nil"/>
            </w:tcBorders>
            <w:vAlign w:val="top"/>
          </w:tcPr>
          <w:p w14:paraId="5E534032">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229.9</w:t>
            </w:r>
          </w:p>
        </w:tc>
        <w:tc>
          <w:tcPr>
            <w:tcW w:w="1272" w:type="dxa"/>
            <w:tcBorders>
              <w:tl2br w:val="nil"/>
              <w:tr2bl w:val="nil"/>
            </w:tcBorders>
            <w:vAlign w:val="top"/>
          </w:tcPr>
          <w:p w14:paraId="0B3FF7B5">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0.4</w:t>
            </w:r>
          </w:p>
        </w:tc>
        <w:tc>
          <w:tcPr>
            <w:tcW w:w="1271" w:type="dxa"/>
            <w:tcBorders>
              <w:tl2br w:val="nil"/>
              <w:tr2bl w:val="nil"/>
            </w:tcBorders>
            <w:vAlign w:val="top"/>
          </w:tcPr>
          <w:p w14:paraId="7CB033C8">
            <w:pPr>
              <w:keepNext w:val="0"/>
              <w:keepLines w:val="0"/>
              <w:pageBreakBefore w:val="0"/>
              <w:widowControl w:val="0"/>
              <w:kinsoku w:val="0"/>
              <w:wordWrap/>
              <w:overflowPunct/>
              <w:topLinePunct w:val="0"/>
              <w:autoSpaceDE w:val="0"/>
              <w:autoSpaceDN w:val="0"/>
              <w:bidi w:val="0"/>
              <w:adjustRightInd w:val="0"/>
              <w:snapToGrid w:val="0"/>
              <w:spacing w:before="116" w:line="179" w:lineRule="auto"/>
              <w:ind w:left="47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629</w:t>
            </w:r>
          </w:p>
        </w:tc>
        <w:tc>
          <w:tcPr>
            <w:tcW w:w="1660" w:type="dxa"/>
            <w:tcBorders>
              <w:tl2br w:val="nil"/>
              <w:tr2bl w:val="nil"/>
            </w:tcBorders>
            <w:vAlign w:val="top"/>
          </w:tcPr>
          <w:p w14:paraId="6891DC57">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231.6</w:t>
            </w:r>
          </w:p>
        </w:tc>
        <w:tc>
          <w:tcPr>
            <w:tcW w:w="1272" w:type="dxa"/>
            <w:tcBorders>
              <w:tl2br w:val="nil"/>
              <w:tr2bl w:val="nil"/>
            </w:tcBorders>
            <w:vAlign w:val="top"/>
          </w:tcPr>
          <w:p w14:paraId="21BDAACE">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2.1</w:t>
            </w:r>
          </w:p>
        </w:tc>
        <w:tc>
          <w:tcPr>
            <w:tcW w:w="1269" w:type="dxa"/>
            <w:tcBorders>
              <w:tl2br w:val="nil"/>
              <w:tr2bl w:val="nil"/>
            </w:tcBorders>
            <w:vAlign w:val="top"/>
          </w:tcPr>
          <w:p w14:paraId="307D059C">
            <w:pPr>
              <w:keepNext w:val="0"/>
              <w:keepLines w:val="0"/>
              <w:pageBreakBefore w:val="0"/>
              <w:widowControl w:val="0"/>
              <w:kinsoku w:val="0"/>
              <w:wordWrap/>
              <w:overflowPunct/>
              <w:topLinePunct w:val="0"/>
              <w:autoSpaceDE w:val="0"/>
              <w:autoSpaceDN w:val="0"/>
              <w:bidi w:val="0"/>
              <w:adjustRightInd w:val="0"/>
              <w:snapToGrid w:val="0"/>
              <w:spacing w:before="116" w:line="179"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17978</w:t>
            </w:r>
          </w:p>
        </w:tc>
      </w:tr>
    </w:tbl>
    <w:p w14:paraId="01187166">
      <w:pPr>
        <w:widowControl/>
        <w:kinsoku w:val="0"/>
        <w:autoSpaceDE w:val="0"/>
        <w:autoSpaceDN w:val="0"/>
        <w:spacing w:line="102" w:lineRule="auto"/>
        <w:ind w:firstLine="0" w:firstLineChars="0"/>
        <w:jc w:val="left"/>
        <w:textAlignment w:val="baseline"/>
        <w:rPr>
          <w:rFonts w:ascii="Arial" w:hAnsi="Arial" w:eastAsia="Arial" w:cs="Arial"/>
          <w:snapToGrid w:val="0"/>
          <w:color w:val="000000"/>
          <w:kern w:val="0"/>
          <w:sz w:val="2"/>
          <w:szCs w:val="21"/>
          <w:lang w:eastAsia="en-US"/>
        </w:rPr>
      </w:pPr>
    </w:p>
    <w:tbl>
      <w:tblPr>
        <w:tblStyle w:val="27"/>
        <w:tblW w:w="84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71"/>
        <w:gridCol w:w="1272"/>
        <w:gridCol w:w="1271"/>
        <w:gridCol w:w="1660"/>
        <w:gridCol w:w="1272"/>
        <w:gridCol w:w="1269"/>
      </w:tblGrid>
      <w:tr w14:paraId="151899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7620C354">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230.0</w:t>
            </w:r>
          </w:p>
        </w:tc>
        <w:tc>
          <w:tcPr>
            <w:tcW w:w="1272" w:type="dxa"/>
            <w:vAlign w:val="top"/>
          </w:tcPr>
          <w:p w14:paraId="5805C3D2">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0.5</w:t>
            </w:r>
          </w:p>
        </w:tc>
        <w:tc>
          <w:tcPr>
            <w:tcW w:w="1271" w:type="dxa"/>
            <w:vAlign w:val="top"/>
          </w:tcPr>
          <w:p w14:paraId="0CEFE2BD">
            <w:pPr>
              <w:keepNext w:val="0"/>
              <w:keepLines w:val="0"/>
              <w:pageBreakBefore w:val="0"/>
              <w:widowControl w:val="0"/>
              <w:kinsoku w:val="0"/>
              <w:wordWrap/>
              <w:overflowPunct/>
              <w:topLinePunct w:val="0"/>
              <w:autoSpaceDE w:val="0"/>
              <w:autoSpaceDN w:val="0"/>
              <w:bidi w:val="0"/>
              <w:adjustRightInd w:val="0"/>
              <w:snapToGrid w:val="0"/>
              <w:spacing w:before="112" w:line="179" w:lineRule="auto"/>
              <w:ind w:left="47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968</w:t>
            </w:r>
          </w:p>
        </w:tc>
        <w:tc>
          <w:tcPr>
            <w:tcW w:w="1660" w:type="dxa"/>
            <w:vAlign w:val="top"/>
          </w:tcPr>
          <w:p w14:paraId="2215C0E5">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231.7</w:t>
            </w:r>
          </w:p>
        </w:tc>
        <w:tc>
          <w:tcPr>
            <w:tcW w:w="1272" w:type="dxa"/>
            <w:vAlign w:val="top"/>
          </w:tcPr>
          <w:p w14:paraId="3BAB9FC1">
            <w:pPr>
              <w:keepNext w:val="0"/>
              <w:keepLines w:val="0"/>
              <w:pageBreakBefore w:val="0"/>
              <w:widowControl w:val="0"/>
              <w:kinsoku w:val="0"/>
              <w:wordWrap/>
              <w:overflowPunct/>
              <w:topLinePunct w:val="0"/>
              <w:autoSpaceDE w:val="0"/>
              <w:autoSpaceDN w:val="0"/>
              <w:bidi w:val="0"/>
              <w:adjustRightInd w:val="0"/>
              <w:snapToGrid w:val="0"/>
              <w:spacing w:before="112"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2.2</w:t>
            </w:r>
          </w:p>
        </w:tc>
        <w:tc>
          <w:tcPr>
            <w:tcW w:w="1269" w:type="dxa"/>
            <w:vAlign w:val="top"/>
          </w:tcPr>
          <w:p w14:paraId="5FEE5D56">
            <w:pPr>
              <w:keepNext w:val="0"/>
              <w:keepLines w:val="0"/>
              <w:pageBreakBefore w:val="0"/>
              <w:widowControl w:val="0"/>
              <w:kinsoku w:val="0"/>
              <w:wordWrap/>
              <w:overflowPunct/>
              <w:topLinePunct w:val="0"/>
              <w:autoSpaceDE w:val="0"/>
              <w:autoSpaceDN w:val="0"/>
              <w:bidi w:val="0"/>
              <w:adjustRightInd w:val="0"/>
              <w:snapToGrid w:val="0"/>
              <w:spacing w:before="112" w:line="179"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19412</w:t>
            </w:r>
          </w:p>
        </w:tc>
      </w:tr>
      <w:tr w14:paraId="0FE1CD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269B8277">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230.1</w:t>
            </w:r>
          </w:p>
        </w:tc>
        <w:tc>
          <w:tcPr>
            <w:tcW w:w="1272" w:type="dxa"/>
            <w:vAlign w:val="top"/>
          </w:tcPr>
          <w:p w14:paraId="22D2B346">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0.6</w:t>
            </w:r>
          </w:p>
        </w:tc>
        <w:tc>
          <w:tcPr>
            <w:tcW w:w="1271" w:type="dxa"/>
            <w:vAlign w:val="top"/>
          </w:tcPr>
          <w:p w14:paraId="75681C89">
            <w:pPr>
              <w:keepNext w:val="0"/>
              <w:keepLines w:val="0"/>
              <w:pageBreakBefore w:val="0"/>
              <w:widowControl w:val="0"/>
              <w:kinsoku w:val="0"/>
              <w:wordWrap/>
              <w:overflowPunct/>
              <w:topLinePunct w:val="0"/>
              <w:autoSpaceDE w:val="0"/>
              <w:autoSpaceDN w:val="0"/>
              <w:bidi w:val="0"/>
              <w:adjustRightInd w:val="0"/>
              <w:snapToGrid w:val="0"/>
              <w:spacing w:before="115" w:line="179" w:lineRule="auto"/>
              <w:ind w:left="4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1398</w:t>
            </w:r>
          </w:p>
        </w:tc>
        <w:tc>
          <w:tcPr>
            <w:tcW w:w="1660" w:type="dxa"/>
            <w:vAlign w:val="top"/>
          </w:tcPr>
          <w:p w14:paraId="44675FE8">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231.8</w:t>
            </w:r>
          </w:p>
        </w:tc>
        <w:tc>
          <w:tcPr>
            <w:tcW w:w="1272" w:type="dxa"/>
            <w:vAlign w:val="top"/>
          </w:tcPr>
          <w:p w14:paraId="4D028C07">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2.3</w:t>
            </w:r>
          </w:p>
        </w:tc>
        <w:tc>
          <w:tcPr>
            <w:tcW w:w="1269" w:type="dxa"/>
            <w:vAlign w:val="top"/>
          </w:tcPr>
          <w:p w14:paraId="41B9D099">
            <w:pPr>
              <w:keepNext w:val="0"/>
              <w:keepLines w:val="0"/>
              <w:pageBreakBefore w:val="0"/>
              <w:widowControl w:val="0"/>
              <w:kinsoku w:val="0"/>
              <w:wordWrap/>
              <w:overflowPunct/>
              <w:topLinePunct w:val="0"/>
              <w:autoSpaceDE w:val="0"/>
              <w:autoSpaceDN w:val="0"/>
              <w:bidi w:val="0"/>
              <w:adjustRightInd w:val="0"/>
              <w:snapToGrid w:val="0"/>
              <w:spacing w:before="115" w:line="179"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20857</w:t>
            </w:r>
          </w:p>
        </w:tc>
      </w:tr>
      <w:tr w14:paraId="1246D0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793307BE">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230.2</w:t>
            </w:r>
          </w:p>
        </w:tc>
        <w:tc>
          <w:tcPr>
            <w:tcW w:w="1272" w:type="dxa"/>
            <w:vAlign w:val="top"/>
          </w:tcPr>
          <w:p w14:paraId="33142DE8">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0.7</w:t>
            </w:r>
          </w:p>
        </w:tc>
        <w:tc>
          <w:tcPr>
            <w:tcW w:w="1271" w:type="dxa"/>
            <w:vAlign w:val="top"/>
          </w:tcPr>
          <w:p w14:paraId="493046A5">
            <w:pPr>
              <w:keepNext w:val="0"/>
              <w:keepLines w:val="0"/>
              <w:pageBreakBefore w:val="0"/>
              <w:widowControl w:val="0"/>
              <w:kinsoku w:val="0"/>
              <w:wordWrap/>
              <w:overflowPunct/>
              <w:topLinePunct w:val="0"/>
              <w:autoSpaceDE w:val="0"/>
              <w:autoSpaceDN w:val="0"/>
              <w:bidi w:val="0"/>
              <w:adjustRightInd w:val="0"/>
              <w:snapToGrid w:val="0"/>
              <w:spacing w:before="113" w:line="179" w:lineRule="auto"/>
              <w:ind w:left="4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1930</w:t>
            </w:r>
          </w:p>
        </w:tc>
        <w:tc>
          <w:tcPr>
            <w:tcW w:w="1660" w:type="dxa"/>
            <w:vAlign w:val="top"/>
          </w:tcPr>
          <w:p w14:paraId="363CDF65">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231.9</w:t>
            </w:r>
          </w:p>
        </w:tc>
        <w:tc>
          <w:tcPr>
            <w:tcW w:w="1272" w:type="dxa"/>
            <w:vAlign w:val="top"/>
          </w:tcPr>
          <w:p w14:paraId="6DC2C029">
            <w:pPr>
              <w:keepNext w:val="0"/>
              <w:keepLines w:val="0"/>
              <w:pageBreakBefore w:val="0"/>
              <w:widowControl w:val="0"/>
              <w:kinsoku w:val="0"/>
              <w:wordWrap/>
              <w:overflowPunct/>
              <w:topLinePunct w:val="0"/>
              <w:autoSpaceDE w:val="0"/>
              <w:autoSpaceDN w:val="0"/>
              <w:bidi w:val="0"/>
              <w:adjustRightInd w:val="0"/>
              <w:snapToGrid w:val="0"/>
              <w:spacing w:before="113"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2.4</w:t>
            </w:r>
          </w:p>
        </w:tc>
        <w:tc>
          <w:tcPr>
            <w:tcW w:w="1269" w:type="dxa"/>
            <w:vAlign w:val="top"/>
          </w:tcPr>
          <w:p w14:paraId="2F6BA23B">
            <w:pPr>
              <w:keepNext w:val="0"/>
              <w:keepLines w:val="0"/>
              <w:pageBreakBefore w:val="0"/>
              <w:widowControl w:val="0"/>
              <w:kinsoku w:val="0"/>
              <w:wordWrap/>
              <w:overflowPunct/>
              <w:topLinePunct w:val="0"/>
              <w:autoSpaceDE w:val="0"/>
              <w:autoSpaceDN w:val="0"/>
              <w:bidi w:val="0"/>
              <w:adjustRightInd w:val="0"/>
              <w:snapToGrid w:val="0"/>
              <w:spacing w:before="113" w:line="179"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22314</w:t>
            </w:r>
          </w:p>
        </w:tc>
      </w:tr>
      <w:tr w14:paraId="435F65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1280EB8D">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230.3</w:t>
            </w:r>
          </w:p>
        </w:tc>
        <w:tc>
          <w:tcPr>
            <w:tcW w:w="1272" w:type="dxa"/>
            <w:vAlign w:val="top"/>
          </w:tcPr>
          <w:p w14:paraId="308B4BBD">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0.8</w:t>
            </w:r>
          </w:p>
        </w:tc>
        <w:tc>
          <w:tcPr>
            <w:tcW w:w="1271" w:type="dxa"/>
            <w:vAlign w:val="top"/>
          </w:tcPr>
          <w:p w14:paraId="0EBBBF5D">
            <w:pPr>
              <w:keepNext w:val="0"/>
              <w:keepLines w:val="0"/>
              <w:pageBreakBefore w:val="0"/>
              <w:widowControl w:val="0"/>
              <w:kinsoku w:val="0"/>
              <w:wordWrap/>
              <w:overflowPunct/>
              <w:topLinePunct w:val="0"/>
              <w:autoSpaceDE w:val="0"/>
              <w:autoSpaceDN w:val="0"/>
              <w:bidi w:val="0"/>
              <w:adjustRightInd w:val="0"/>
              <w:snapToGrid w:val="0"/>
              <w:spacing w:before="116" w:line="179" w:lineRule="auto"/>
              <w:ind w:left="41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2566</w:t>
            </w:r>
          </w:p>
        </w:tc>
        <w:tc>
          <w:tcPr>
            <w:tcW w:w="1660" w:type="dxa"/>
            <w:vAlign w:val="top"/>
          </w:tcPr>
          <w:p w14:paraId="62097A47">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232.0</w:t>
            </w:r>
          </w:p>
        </w:tc>
        <w:tc>
          <w:tcPr>
            <w:tcW w:w="1272" w:type="dxa"/>
            <w:vAlign w:val="top"/>
          </w:tcPr>
          <w:p w14:paraId="31A4D84D">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2.5</w:t>
            </w:r>
          </w:p>
        </w:tc>
        <w:tc>
          <w:tcPr>
            <w:tcW w:w="1269" w:type="dxa"/>
            <w:vAlign w:val="top"/>
          </w:tcPr>
          <w:p w14:paraId="55586781">
            <w:pPr>
              <w:keepNext w:val="0"/>
              <w:keepLines w:val="0"/>
              <w:pageBreakBefore w:val="0"/>
              <w:widowControl w:val="0"/>
              <w:kinsoku w:val="0"/>
              <w:wordWrap/>
              <w:overflowPunct/>
              <w:topLinePunct w:val="0"/>
              <w:autoSpaceDE w:val="0"/>
              <w:autoSpaceDN w:val="0"/>
              <w:bidi w:val="0"/>
              <w:adjustRightInd w:val="0"/>
              <w:snapToGrid w:val="0"/>
              <w:spacing w:before="116" w:line="179"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23782</w:t>
            </w:r>
          </w:p>
        </w:tc>
      </w:tr>
      <w:tr w14:paraId="13CF52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11F21E45">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230.4</w:t>
            </w:r>
          </w:p>
        </w:tc>
        <w:tc>
          <w:tcPr>
            <w:tcW w:w="1272" w:type="dxa"/>
            <w:vAlign w:val="top"/>
          </w:tcPr>
          <w:p w14:paraId="79A6B560">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0.9</w:t>
            </w:r>
          </w:p>
        </w:tc>
        <w:tc>
          <w:tcPr>
            <w:tcW w:w="1271" w:type="dxa"/>
            <w:vAlign w:val="top"/>
          </w:tcPr>
          <w:p w14:paraId="385F3502">
            <w:pPr>
              <w:keepNext w:val="0"/>
              <w:keepLines w:val="0"/>
              <w:pageBreakBefore w:val="0"/>
              <w:widowControl w:val="0"/>
              <w:kinsoku w:val="0"/>
              <w:wordWrap/>
              <w:overflowPunct/>
              <w:topLinePunct w:val="0"/>
              <w:autoSpaceDE w:val="0"/>
              <w:autoSpaceDN w:val="0"/>
              <w:bidi w:val="0"/>
              <w:adjustRightInd w:val="0"/>
              <w:snapToGrid w:val="0"/>
              <w:spacing w:before="116" w:line="179" w:lineRule="auto"/>
              <w:ind w:left="42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3301</w:t>
            </w:r>
          </w:p>
        </w:tc>
        <w:tc>
          <w:tcPr>
            <w:tcW w:w="1660" w:type="dxa"/>
            <w:vAlign w:val="top"/>
          </w:tcPr>
          <w:p w14:paraId="7C1D0B83">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232.1</w:t>
            </w:r>
          </w:p>
        </w:tc>
        <w:tc>
          <w:tcPr>
            <w:tcW w:w="1272" w:type="dxa"/>
            <w:vAlign w:val="top"/>
          </w:tcPr>
          <w:p w14:paraId="0A1AB9BF">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2.6</w:t>
            </w:r>
          </w:p>
        </w:tc>
        <w:tc>
          <w:tcPr>
            <w:tcW w:w="1269" w:type="dxa"/>
            <w:vAlign w:val="top"/>
          </w:tcPr>
          <w:p w14:paraId="31EC8201">
            <w:pPr>
              <w:keepNext w:val="0"/>
              <w:keepLines w:val="0"/>
              <w:pageBreakBefore w:val="0"/>
              <w:widowControl w:val="0"/>
              <w:kinsoku w:val="0"/>
              <w:wordWrap/>
              <w:overflowPunct/>
              <w:topLinePunct w:val="0"/>
              <w:autoSpaceDE w:val="0"/>
              <w:autoSpaceDN w:val="0"/>
              <w:bidi w:val="0"/>
              <w:adjustRightInd w:val="0"/>
              <w:snapToGrid w:val="0"/>
              <w:spacing w:before="116" w:line="179"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25279</w:t>
            </w:r>
          </w:p>
        </w:tc>
      </w:tr>
      <w:tr w14:paraId="673442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71" w:type="dxa"/>
            <w:vAlign w:val="top"/>
          </w:tcPr>
          <w:p w14:paraId="306FA794">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230.5</w:t>
            </w:r>
          </w:p>
        </w:tc>
        <w:tc>
          <w:tcPr>
            <w:tcW w:w="1272" w:type="dxa"/>
            <w:vAlign w:val="top"/>
          </w:tcPr>
          <w:p w14:paraId="578ED289">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1.0</w:t>
            </w:r>
          </w:p>
        </w:tc>
        <w:tc>
          <w:tcPr>
            <w:tcW w:w="1271" w:type="dxa"/>
            <w:vAlign w:val="top"/>
          </w:tcPr>
          <w:p w14:paraId="597B4C1B">
            <w:pPr>
              <w:keepNext w:val="0"/>
              <w:keepLines w:val="0"/>
              <w:pageBreakBefore w:val="0"/>
              <w:widowControl w:val="0"/>
              <w:kinsoku w:val="0"/>
              <w:wordWrap/>
              <w:overflowPunct/>
              <w:topLinePunct w:val="0"/>
              <w:autoSpaceDE w:val="0"/>
              <w:autoSpaceDN w:val="0"/>
              <w:bidi w:val="0"/>
              <w:adjustRightInd w:val="0"/>
              <w:snapToGrid w:val="0"/>
              <w:spacing w:before="116" w:line="179" w:lineRule="auto"/>
              <w:ind w:left="41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4133</w:t>
            </w:r>
          </w:p>
        </w:tc>
        <w:tc>
          <w:tcPr>
            <w:tcW w:w="1660" w:type="dxa"/>
            <w:vAlign w:val="top"/>
          </w:tcPr>
          <w:p w14:paraId="588E29CD">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232.2</w:t>
            </w:r>
          </w:p>
        </w:tc>
        <w:tc>
          <w:tcPr>
            <w:tcW w:w="1272" w:type="dxa"/>
            <w:vAlign w:val="top"/>
          </w:tcPr>
          <w:p w14:paraId="7E5FAA60">
            <w:pPr>
              <w:keepNext w:val="0"/>
              <w:keepLines w:val="0"/>
              <w:pageBreakBefore w:val="0"/>
              <w:widowControl w:val="0"/>
              <w:kinsoku w:val="0"/>
              <w:wordWrap/>
              <w:overflowPunct/>
              <w:topLinePunct w:val="0"/>
              <w:autoSpaceDE w:val="0"/>
              <w:autoSpaceDN w:val="0"/>
              <w:bidi w:val="0"/>
              <w:adjustRightInd w:val="0"/>
              <w:snapToGrid w:val="0"/>
              <w:spacing w:before="116"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2.7</w:t>
            </w:r>
          </w:p>
        </w:tc>
        <w:tc>
          <w:tcPr>
            <w:tcW w:w="1269" w:type="dxa"/>
            <w:vAlign w:val="top"/>
          </w:tcPr>
          <w:p w14:paraId="0B1B32C0">
            <w:pPr>
              <w:keepNext w:val="0"/>
              <w:keepLines w:val="0"/>
              <w:pageBreakBefore w:val="0"/>
              <w:widowControl w:val="0"/>
              <w:kinsoku w:val="0"/>
              <w:wordWrap/>
              <w:overflowPunct/>
              <w:topLinePunct w:val="0"/>
              <w:autoSpaceDE w:val="0"/>
              <w:autoSpaceDN w:val="0"/>
              <w:bidi w:val="0"/>
              <w:adjustRightInd w:val="0"/>
              <w:snapToGrid w:val="0"/>
              <w:spacing w:before="116" w:line="179"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26822</w:t>
            </w:r>
          </w:p>
        </w:tc>
      </w:tr>
      <w:tr w14:paraId="1A9352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4D06C5EC">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230.6</w:t>
            </w:r>
          </w:p>
        </w:tc>
        <w:tc>
          <w:tcPr>
            <w:tcW w:w="1272" w:type="dxa"/>
            <w:vAlign w:val="top"/>
          </w:tcPr>
          <w:p w14:paraId="2F8AD3C1">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1.1</w:t>
            </w:r>
          </w:p>
        </w:tc>
        <w:tc>
          <w:tcPr>
            <w:tcW w:w="1271" w:type="dxa"/>
            <w:vAlign w:val="top"/>
          </w:tcPr>
          <w:p w14:paraId="784D1BCE">
            <w:pPr>
              <w:keepNext w:val="0"/>
              <w:keepLines w:val="0"/>
              <w:pageBreakBefore w:val="0"/>
              <w:widowControl w:val="0"/>
              <w:kinsoku w:val="0"/>
              <w:wordWrap/>
              <w:overflowPunct/>
              <w:topLinePunct w:val="0"/>
              <w:autoSpaceDE w:val="0"/>
              <w:autoSpaceDN w:val="0"/>
              <w:bidi w:val="0"/>
              <w:adjustRightInd w:val="0"/>
              <w:snapToGrid w:val="0"/>
              <w:spacing w:before="117" w:line="179" w:lineRule="auto"/>
              <w:ind w:left="41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5057</w:t>
            </w:r>
          </w:p>
        </w:tc>
        <w:tc>
          <w:tcPr>
            <w:tcW w:w="1660" w:type="dxa"/>
            <w:vAlign w:val="top"/>
          </w:tcPr>
          <w:p w14:paraId="6BE3DF38">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232.3</w:t>
            </w:r>
          </w:p>
        </w:tc>
        <w:tc>
          <w:tcPr>
            <w:tcW w:w="1272" w:type="dxa"/>
            <w:vAlign w:val="top"/>
          </w:tcPr>
          <w:p w14:paraId="68578506">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2.8</w:t>
            </w:r>
          </w:p>
        </w:tc>
        <w:tc>
          <w:tcPr>
            <w:tcW w:w="1269" w:type="dxa"/>
            <w:vAlign w:val="top"/>
          </w:tcPr>
          <w:p w14:paraId="411F73FA">
            <w:pPr>
              <w:keepNext w:val="0"/>
              <w:keepLines w:val="0"/>
              <w:pageBreakBefore w:val="0"/>
              <w:widowControl w:val="0"/>
              <w:kinsoku w:val="0"/>
              <w:wordWrap/>
              <w:overflowPunct/>
              <w:topLinePunct w:val="0"/>
              <w:autoSpaceDE w:val="0"/>
              <w:autoSpaceDN w:val="0"/>
              <w:bidi w:val="0"/>
              <w:adjustRightInd w:val="0"/>
              <w:snapToGrid w:val="0"/>
              <w:spacing w:before="117" w:line="179"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28411</w:t>
            </w:r>
          </w:p>
        </w:tc>
      </w:tr>
      <w:tr w14:paraId="2DEB6D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671" w:type="dxa"/>
            <w:vAlign w:val="top"/>
          </w:tcPr>
          <w:p w14:paraId="12E11D16">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230.7</w:t>
            </w:r>
          </w:p>
        </w:tc>
        <w:tc>
          <w:tcPr>
            <w:tcW w:w="1272" w:type="dxa"/>
            <w:vAlign w:val="top"/>
          </w:tcPr>
          <w:p w14:paraId="1B0FBF89">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1.2</w:t>
            </w:r>
          </w:p>
        </w:tc>
        <w:tc>
          <w:tcPr>
            <w:tcW w:w="1271" w:type="dxa"/>
            <w:vAlign w:val="top"/>
          </w:tcPr>
          <w:p w14:paraId="4238CFE4">
            <w:pPr>
              <w:keepNext w:val="0"/>
              <w:keepLines w:val="0"/>
              <w:pageBreakBefore w:val="0"/>
              <w:widowControl w:val="0"/>
              <w:kinsoku w:val="0"/>
              <w:wordWrap/>
              <w:overflowPunct/>
              <w:topLinePunct w:val="0"/>
              <w:autoSpaceDE w:val="0"/>
              <w:autoSpaceDN w:val="0"/>
              <w:bidi w:val="0"/>
              <w:adjustRightInd w:val="0"/>
              <w:snapToGrid w:val="0"/>
              <w:spacing w:before="115" w:line="179" w:lineRule="auto"/>
              <w:ind w:left="41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6069</w:t>
            </w:r>
          </w:p>
        </w:tc>
        <w:tc>
          <w:tcPr>
            <w:tcW w:w="1660" w:type="dxa"/>
            <w:vAlign w:val="top"/>
          </w:tcPr>
          <w:p w14:paraId="2A15326E">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232.4</w:t>
            </w:r>
          </w:p>
        </w:tc>
        <w:tc>
          <w:tcPr>
            <w:tcW w:w="1272" w:type="dxa"/>
            <w:vAlign w:val="top"/>
          </w:tcPr>
          <w:p w14:paraId="3E739D3A">
            <w:pPr>
              <w:keepNext w:val="0"/>
              <w:keepLines w:val="0"/>
              <w:pageBreakBefore w:val="0"/>
              <w:widowControl w:val="0"/>
              <w:kinsoku w:val="0"/>
              <w:wordWrap/>
              <w:overflowPunct/>
              <w:topLinePunct w:val="0"/>
              <w:autoSpaceDE w:val="0"/>
              <w:autoSpaceDN w:val="0"/>
              <w:bidi w:val="0"/>
              <w:adjustRightInd w:val="0"/>
              <w:snapToGrid w:val="0"/>
              <w:spacing w:before="115" w:line="181" w:lineRule="auto"/>
              <w:ind w:left="47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2.9</w:t>
            </w:r>
          </w:p>
        </w:tc>
        <w:tc>
          <w:tcPr>
            <w:tcW w:w="1269" w:type="dxa"/>
            <w:vAlign w:val="top"/>
          </w:tcPr>
          <w:p w14:paraId="52136523">
            <w:pPr>
              <w:keepNext w:val="0"/>
              <w:keepLines w:val="0"/>
              <w:pageBreakBefore w:val="0"/>
              <w:widowControl w:val="0"/>
              <w:kinsoku w:val="0"/>
              <w:wordWrap/>
              <w:overflowPunct/>
              <w:topLinePunct w:val="0"/>
              <w:autoSpaceDE w:val="0"/>
              <w:autoSpaceDN w:val="0"/>
              <w:bidi w:val="0"/>
              <w:adjustRightInd w:val="0"/>
              <w:snapToGrid w:val="0"/>
              <w:spacing w:before="115" w:line="179"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30046</w:t>
            </w:r>
          </w:p>
        </w:tc>
      </w:tr>
      <w:tr w14:paraId="2FE608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428288E0">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230.8</w:t>
            </w:r>
          </w:p>
        </w:tc>
        <w:tc>
          <w:tcPr>
            <w:tcW w:w="1272" w:type="dxa"/>
            <w:vAlign w:val="top"/>
          </w:tcPr>
          <w:p w14:paraId="20CAF2AC">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1.3</w:t>
            </w:r>
          </w:p>
        </w:tc>
        <w:tc>
          <w:tcPr>
            <w:tcW w:w="1271" w:type="dxa"/>
            <w:vAlign w:val="top"/>
          </w:tcPr>
          <w:p w14:paraId="7D7E5C16">
            <w:pPr>
              <w:keepNext w:val="0"/>
              <w:keepLines w:val="0"/>
              <w:pageBreakBefore w:val="0"/>
              <w:widowControl w:val="0"/>
              <w:kinsoku w:val="0"/>
              <w:wordWrap/>
              <w:overflowPunct/>
              <w:topLinePunct w:val="0"/>
              <w:autoSpaceDE w:val="0"/>
              <w:autoSpaceDN w:val="0"/>
              <w:bidi w:val="0"/>
              <w:adjustRightInd w:val="0"/>
              <w:snapToGrid w:val="0"/>
              <w:spacing w:before="117" w:line="179" w:lineRule="auto"/>
              <w:ind w:left="41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7164</w:t>
            </w:r>
          </w:p>
        </w:tc>
        <w:tc>
          <w:tcPr>
            <w:tcW w:w="1660" w:type="dxa"/>
            <w:vAlign w:val="top"/>
          </w:tcPr>
          <w:p w14:paraId="633B6EE0">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232.5</w:t>
            </w:r>
          </w:p>
        </w:tc>
        <w:tc>
          <w:tcPr>
            <w:tcW w:w="1272" w:type="dxa"/>
            <w:vAlign w:val="top"/>
          </w:tcPr>
          <w:p w14:paraId="47592D23">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3.0</w:t>
            </w:r>
          </w:p>
        </w:tc>
        <w:tc>
          <w:tcPr>
            <w:tcW w:w="1269" w:type="dxa"/>
            <w:vAlign w:val="top"/>
          </w:tcPr>
          <w:p w14:paraId="44DEBE66">
            <w:pPr>
              <w:keepNext w:val="0"/>
              <w:keepLines w:val="0"/>
              <w:pageBreakBefore w:val="0"/>
              <w:widowControl w:val="0"/>
              <w:kinsoku w:val="0"/>
              <w:wordWrap/>
              <w:overflowPunct/>
              <w:topLinePunct w:val="0"/>
              <w:autoSpaceDE w:val="0"/>
              <w:autoSpaceDN w:val="0"/>
              <w:bidi w:val="0"/>
              <w:adjustRightInd w:val="0"/>
              <w:snapToGrid w:val="0"/>
              <w:spacing w:before="117" w:line="179"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31728</w:t>
            </w:r>
          </w:p>
        </w:tc>
      </w:tr>
      <w:tr w14:paraId="041517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671" w:type="dxa"/>
            <w:vAlign w:val="top"/>
          </w:tcPr>
          <w:p w14:paraId="50D0A17A">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230.9</w:t>
            </w:r>
          </w:p>
        </w:tc>
        <w:tc>
          <w:tcPr>
            <w:tcW w:w="1272" w:type="dxa"/>
            <w:vAlign w:val="top"/>
          </w:tcPr>
          <w:p w14:paraId="7A01D7EB">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1.4</w:t>
            </w:r>
          </w:p>
        </w:tc>
        <w:tc>
          <w:tcPr>
            <w:tcW w:w="1271" w:type="dxa"/>
            <w:vAlign w:val="top"/>
          </w:tcPr>
          <w:p w14:paraId="6EEECC06">
            <w:pPr>
              <w:keepNext w:val="0"/>
              <w:keepLines w:val="0"/>
              <w:pageBreakBefore w:val="0"/>
              <w:widowControl w:val="0"/>
              <w:kinsoku w:val="0"/>
              <w:wordWrap/>
              <w:overflowPunct/>
              <w:topLinePunct w:val="0"/>
              <w:autoSpaceDE w:val="0"/>
              <w:autoSpaceDN w:val="0"/>
              <w:bidi w:val="0"/>
              <w:adjustRightInd w:val="0"/>
              <w:snapToGrid w:val="0"/>
              <w:spacing w:before="117" w:line="179" w:lineRule="auto"/>
              <w:ind w:left="41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8336</w:t>
            </w:r>
          </w:p>
        </w:tc>
        <w:tc>
          <w:tcPr>
            <w:tcW w:w="1660" w:type="dxa"/>
            <w:vAlign w:val="top"/>
          </w:tcPr>
          <w:p w14:paraId="6107805A">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232.6</w:t>
            </w:r>
          </w:p>
        </w:tc>
        <w:tc>
          <w:tcPr>
            <w:tcW w:w="1272" w:type="dxa"/>
            <w:vAlign w:val="top"/>
          </w:tcPr>
          <w:p w14:paraId="306C6CAD">
            <w:pPr>
              <w:keepNext w:val="0"/>
              <w:keepLines w:val="0"/>
              <w:pageBreakBefore w:val="0"/>
              <w:widowControl w:val="0"/>
              <w:kinsoku w:val="0"/>
              <w:wordWrap/>
              <w:overflowPunct/>
              <w:topLinePunct w:val="0"/>
              <w:autoSpaceDE w:val="0"/>
              <w:autoSpaceDN w:val="0"/>
              <w:bidi w:val="0"/>
              <w:adjustRightInd w:val="0"/>
              <w:snapToGrid w:val="0"/>
              <w:spacing w:before="117" w:line="181" w:lineRule="auto"/>
              <w:ind w:left="4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3.1</w:t>
            </w:r>
          </w:p>
        </w:tc>
        <w:tc>
          <w:tcPr>
            <w:tcW w:w="1269" w:type="dxa"/>
            <w:vAlign w:val="top"/>
          </w:tcPr>
          <w:p w14:paraId="29A40119">
            <w:pPr>
              <w:keepNext w:val="0"/>
              <w:keepLines w:val="0"/>
              <w:pageBreakBefore w:val="0"/>
              <w:widowControl w:val="0"/>
              <w:kinsoku w:val="0"/>
              <w:wordWrap/>
              <w:overflowPunct/>
              <w:topLinePunct w:val="0"/>
              <w:autoSpaceDE w:val="0"/>
              <w:autoSpaceDN w:val="0"/>
              <w:bidi w:val="0"/>
              <w:adjustRightInd w:val="0"/>
              <w:snapToGrid w:val="0"/>
              <w:spacing w:before="117" w:line="179"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33455</w:t>
            </w:r>
          </w:p>
        </w:tc>
      </w:tr>
      <w:tr w14:paraId="0F9960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671" w:type="dxa"/>
            <w:vAlign w:val="top"/>
          </w:tcPr>
          <w:p w14:paraId="6D8C9F28">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231.0</w:t>
            </w:r>
          </w:p>
        </w:tc>
        <w:tc>
          <w:tcPr>
            <w:tcW w:w="1272" w:type="dxa"/>
            <w:vAlign w:val="top"/>
          </w:tcPr>
          <w:p w14:paraId="12AB0FE7">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1.5</w:t>
            </w:r>
          </w:p>
        </w:tc>
        <w:tc>
          <w:tcPr>
            <w:tcW w:w="1271" w:type="dxa"/>
            <w:vAlign w:val="top"/>
          </w:tcPr>
          <w:p w14:paraId="1326AC19">
            <w:pPr>
              <w:keepNext w:val="0"/>
              <w:keepLines w:val="0"/>
              <w:pageBreakBefore w:val="0"/>
              <w:widowControl w:val="0"/>
              <w:kinsoku w:val="0"/>
              <w:wordWrap/>
              <w:overflowPunct/>
              <w:topLinePunct w:val="0"/>
              <w:autoSpaceDE w:val="0"/>
              <w:autoSpaceDN w:val="0"/>
              <w:bidi w:val="0"/>
              <w:adjustRightInd w:val="0"/>
              <w:snapToGrid w:val="0"/>
              <w:spacing w:before="118" w:line="179" w:lineRule="auto"/>
              <w:ind w:left="41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9618</w:t>
            </w:r>
          </w:p>
        </w:tc>
        <w:tc>
          <w:tcPr>
            <w:tcW w:w="1660" w:type="dxa"/>
            <w:vAlign w:val="top"/>
          </w:tcPr>
          <w:p w14:paraId="23FFA258">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232.7</w:t>
            </w:r>
          </w:p>
        </w:tc>
        <w:tc>
          <w:tcPr>
            <w:tcW w:w="1272" w:type="dxa"/>
            <w:vAlign w:val="top"/>
          </w:tcPr>
          <w:p w14:paraId="6CE567B2">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3.2</w:t>
            </w:r>
          </w:p>
        </w:tc>
        <w:tc>
          <w:tcPr>
            <w:tcW w:w="1269" w:type="dxa"/>
            <w:vAlign w:val="top"/>
          </w:tcPr>
          <w:p w14:paraId="2168659E">
            <w:pPr>
              <w:keepNext w:val="0"/>
              <w:keepLines w:val="0"/>
              <w:pageBreakBefore w:val="0"/>
              <w:widowControl w:val="0"/>
              <w:kinsoku w:val="0"/>
              <w:wordWrap/>
              <w:overflowPunct/>
              <w:topLinePunct w:val="0"/>
              <w:autoSpaceDE w:val="0"/>
              <w:autoSpaceDN w:val="0"/>
              <w:bidi w:val="0"/>
              <w:adjustRightInd w:val="0"/>
              <w:snapToGrid w:val="0"/>
              <w:spacing w:before="118" w:line="179"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35229</w:t>
            </w:r>
          </w:p>
        </w:tc>
      </w:tr>
      <w:tr w14:paraId="13C7B2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1671" w:type="dxa"/>
            <w:vAlign w:val="top"/>
          </w:tcPr>
          <w:p w14:paraId="17E42AC7">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231.1</w:t>
            </w:r>
          </w:p>
        </w:tc>
        <w:tc>
          <w:tcPr>
            <w:tcW w:w="1272" w:type="dxa"/>
            <w:vAlign w:val="top"/>
          </w:tcPr>
          <w:p w14:paraId="02DF168A">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7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1.6</w:t>
            </w:r>
          </w:p>
        </w:tc>
        <w:tc>
          <w:tcPr>
            <w:tcW w:w="1271" w:type="dxa"/>
            <w:vAlign w:val="top"/>
          </w:tcPr>
          <w:p w14:paraId="22F194B5">
            <w:pPr>
              <w:keepNext w:val="0"/>
              <w:keepLines w:val="0"/>
              <w:pageBreakBefore w:val="0"/>
              <w:widowControl w:val="0"/>
              <w:kinsoku w:val="0"/>
              <w:wordWrap/>
              <w:overflowPunct/>
              <w:topLinePunct w:val="0"/>
              <w:autoSpaceDE w:val="0"/>
              <w:autoSpaceDN w:val="0"/>
              <w:bidi w:val="0"/>
              <w:adjustRightInd w:val="0"/>
              <w:snapToGrid w:val="0"/>
              <w:spacing w:before="118" w:line="179"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10983</w:t>
            </w:r>
          </w:p>
        </w:tc>
        <w:tc>
          <w:tcPr>
            <w:tcW w:w="1660" w:type="dxa"/>
            <w:vAlign w:val="top"/>
          </w:tcPr>
          <w:p w14:paraId="7DA273E4">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5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232.8</w:t>
            </w:r>
          </w:p>
        </w:tc>
        <w:tc>
          <w:tcPr>
            <w:tcW w:w="1272" w:type="dxa"/>
            <w:vAlign w:val="top"/>
          </w:tcPr>
          <w:p w14:paraId="18B35FFA">
            <w:pPr>
              <w:keepNext w:val="0"/>
              <w:keepLines w:val="0"/>
              <w:pageBreakBefore w:val="0"/>
              <w:widowControl w:val="0"/>
              <w:kinsoku w:val="0"/>
              <w:wordWrap/>
              <w:overflowPunct/>
              <w:topLinePunct w:val="0"/>
              <w:autoSpaceDE w:val="0"/>
              <w:autoSpaceDN w:val="0"/>
              <w:bidi w:val="0"/>
              <w:adjustRightInd w:val="0"/>
              <w:snapToGrid w:val="0"/>
              <w:spacing w:before="118" w:line="181" w:lineRule="auto"/>
              <w:ind w:left="4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3.3</w:t>
            </w:r>
          </w:p>
        </w:tc>
        <w:tc>
          <w:tcPr>
            <w:tcW w:w="1269" w:type="dxa"/>
            <w:vAlign w:val="top"/>
          </w:tcPr>
          <w:p w14:paraId="56624988">
            <w:pPr>
              <w:keepNext w:val="0"/>
              <w:keepLines w:val="0"/>
              <w:pageBreakBefore w:val="0"/>
              <w:widowControl w:val="0"/>
              <w:kinsoku w:val="0"/>
              <w:wordWrap/>
              <w:overflowPunct/>
              <w:topLinePunct w:val="0"/>
              <w:autoSpaceDE w:val="0"/>
              <w:autoSpaceDN w:val="0"/>
              <w:bidi w:val="0"/>
              <w:adjustRightInd w:val="0"/>
              <w:snapToGrid w:val="0"/>
              <w:spacing w:before="118" w:line="179"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37049</w:t>
            </w:r>
          </w:p>
        </w:tc>
      </w:tr>
    </w:tbl>
    <w:p w14:paraId="3F0BC417">
      <w:pPr>
        <w:bidi w:val="0"/>
        <w:rPr>
          <w:rFonts w:hint="default" w:ascii="Times New Roman" w:hAnsi="Times New Roman" w:cs="Times New Roman"/>
          <w:lang w:val="en-US" w:eastAsia="zh-CN"/>
        </w:rPr>
      </w:pPr>
      <w:r>
        <w:rPr>
          <w:rFonts w:hint="default" w:ascii="Times New Roman" w:hAnsi="Times New Roman" w:cs="Times New Roman"/>
          <w:lang w:val="en-US" w:eastAsia="zh-CN"/>
        </w:rPr>
        <w:t>11. 调洪演算原理</w:t>
      </w:r>
    </w:p>
    <w:p w14:paraId="63AB7F21">
      <w:pPr>
        <w:bidi w:val="0"/>
        <w:rPr>
          <w:rFonts w:hint="default" w:ascii="Times New Roman" w:hAnsi="Times New Roman" w:cs="Times New Roman"/>
          <w:lang w:val="en-US" w:eastAsia="zh-CN"/>
        </w:rPr>
      </w:pPr>
      <w:r>
        <w:rPr>
          <w:rFonts w:hint="default" w:ascii="Times New Roman" w:hAnsi="Times New Roman" w:cs="Times New Roman"/>
          <w:lang w:val="en-US" w:eastAsia="zh-CN"/>
        </w:rPr>
        <w:t>尾矿库调洪演算，可根据来水过程线和排水构筑物的泄水量与尾矿库的调洪库容关系曲线，通过水量平衡计算求出泄洪过程线，从而定出泄流量和调洪库容。尾矿库内任一时段 Δt 的水量平衡方程式为：</w:t>
      </w:r>
    </w:p>
    <w:p w14:paraId="4C35694C">
      <w:pPr>
        <w:bidi w:val="0"/>
        <w:rPr>
          <w:rFonts w:ascii="Times New Roman" w:hAnsi="Times New Roman" w:eastAsia="Times New Roman" w:cs="Times New Roman"/>
          <w:i/>
          <w:iCs/>
          <w:position w:val="-5"/>
          <w:sz w:val="14"/>
          <w:szCs w:val="14"/>
        </w:rPr>
      </w:pPr>
      <w:r>
        <w:rPr>
          <w:rFonts w:ascii="Arial" w:hAnsi="Arial" w:eastAsia="Arial" w:cs="Arial"/>
          <w:position w:val="-19"/>
          <w:sz w:val="32"/>
          <w:szCs w:val="32"/>
        </w:rPr>
        <w:drawing>
          <wp:inline distT="0" distB="0" distL="0" distR="0">
            <wp:extent cx="97790" cy="337820"/>
            <wp:effectExtent l="0" t="0" r="8890" b="12700"/>
            <wp:docPr id="118" name="IM 62"/>
            <wp:cNvGraphicFramePr/>
            <a:graphic xmlns:a="http://schemas.openxmlformats.org/drawingml/2006/main">
              <a:graphicData uri="http://schemas.openxmlformats.org/drawingml/2006/picture">
                <pic:pic xmlns:pic="http://schemas.openxmlformats.org/drawingml/2006/picture">
                  <pic:nvPicPr>
                    <pic:cNvPr id="118" name="IM 62"/>
                    <pic:cNvPicPr/>
                  </pic:nvPicPr>
                  <pic:blipFill>
                    <a:blip r:embed="rId27"/>
                    <a:stretch>
                      <a:fillRect/>
                    </a:stretch>
                  </pic:blipFill>
                  <pic:spPr>
                    <a:xfrm>
                      <a:off x="0" y="0"/>
                      <a:ext cx="98292" cy="338374"/>
                    </a:xfrm>
                    <a:prstGeom prst="rect">
                      <a:avLst/>
                    </a:prstGeom>
                  </pic:spPr>
                </pic:pic>
              </a:graphicData>
            </a:graphic>
          </wp:inline>
        </w:drawing>
      </w:r>
      <w:r>
        <w:rPr>
          <w:rFonts w:ascii="Arial" w:hAnsi="Arial" w:eastAsia="Arial" w:cs="Arial"/>
          <w:spacing w:val="-41"/>
          <w:sz w:val="32"/>
          <w:szCs w:val="32"/>
        </w:rPr>
        <w:t xml:space="preserve"> </w:t>
      </w:r>
      <w:r>
        <w:rPr>
          <w:rFonts w:ascii="Arial" w:hAnsi="Arial" w:eastAsia="Arial" w:cs="Arial"/>
          <w:spacing w:val="-17"/>
          <w:w w:val="97"/>
          <w:sz w:val="32"/>
          <w:szCs w:val="32"/>
        </w:rPr>
        <w:t>(</w:t>
      </w:r>
      <w:r>
        <w:rPr>
          <w:rFonts w:ascii="Times New Roman" w:hAnsi="Times New Roman" w:eastAsia="Times New Roman" w:cs="Times New Roman"/>
          <w:i/>
          <w:iCs/>
          <w:spacing w:val="-17"/>
          <w:w w:val="97"/>
          <w:sz w:val="24"/>
          <w:szCs w:val="24"/>
        </w:rPr>
        <w:t>Q</w:t>
      </w:r>
      <w:r>
        <w:rPr>
          <w:rFonts w:ascii="Times New Roman" w:hAnsi="Times New Roman" w:eastAsia="Times New Roman" w:cs="Times New Roman"/>
          <w:i/>
          <w:iCs/>
          <w:spacing w:val="-4"/>
          <w:position w:val="-5"/>
          <w:sz w:val="14"/>
          <w:szCs w:val="14"/>
        </w:rPr>
        <w:t>s</w:t>
      </w:r>
      <w:r>
        <w:rPr>
          <w:rFonts w:ascii="Times New Roman" w:hAnsi="Times New Roman" w:eastAsia="Times New Roman" w:cs="Times New Roman"/>
          <w:i/>
          <w:iCs/>
          <w:spacing w:val="11"/>
          <w:w w:val="102"/>
          <w:position w:val="-5"/>
          <w:sz w:val="14"/>
          <w:szCs w:val="14"/>
        </w:rPr>
        <w:t xml:space="preserve">  </w:t>
      </w:r>
      <w:r>
        <w:rPr>
          <w:rFonts w:ascii="Arial" w:hAnsi="Arial" w:eastAsia="Arial" w:cs="Arial"/>
          <w:spacing w:val="-4"/>
          <w:sz w:val="24"/>
          <w:szCs w:val="24"/>
        </w:rPr>
        <w:t xml:space="preserve">+ </w:t>
      </w:r>
      <w:r>
        <w:rPr>
          <w:rFonts w:ascii="Times New Roman" w:hAnsi="Times New Roman" w:eastAsia="Times New Roman" w:cs="Times New Roman"/>
          <w:i/>
          <w:iCs/>
          <w:spacing w:val="-4"/>
          <w:sz w:val="24"/>
          <w:szCs w:val="24"/>
        </w:rPr>
        <w:t>Q</w:t>
      </w:r>
      <w:r>
        <w:rPr>
          <w:rFonts w:ascii="Times New Roman" w:hAnsi="Times New Roman" w:eastAsia="Times New Roman" w:cs="Times New Roman"/>
          <w:i/>
          <w:iCs/>
          <w:spacing w:val="-4"/>
          <w:position w:val="-5"/>
          <w:sz w:val="14"/>
          <w:szCs w:val="14"/>
        </w:rPr>
        <w:t>z</w:t>
      </w:r>
      <w:r>
        <w:rPr>
          <w:rFonts w:ascii="Times New Roman" w:hAnsi="Times New Roman" w:eastAsia="Times New Roman" w:cs="Times New Roman"/>
          <w:i/>
          <w:iCs/>
          <w:spacing w:val="23"/>
          <w:position w:val="-5"/>
          <w:sz w:val="14"/>
          <w:szCs w:val="14"/>
        </w:rPr>
        <w:t xml:space="preserve"> </w:t>
      </w:r>
      <w:r>
        <w:rPr>
          <w:rFonts w:ascii="Arial" w:hAnsi="Arial" w:eastAsia="Arial" w:cs="Arial"/>
          <w:spacing w:val="-4"/>
          <w:sz w:val="32"/>
          <w:szCs w:val="32"/>
        </w:rPr>
        <w:t>)</w:t>
      </w:r>
      <w:r>
        <w:rPr>
          <w:rFonts w:ascii="Arial" w:hAnsi="Arial" w:eastAsia="Arial" w:cs="Arial"/>
          <w:spacing w:val="-4"/>
          <w:sz w:val="24"/>
          <w:szCs w:val="24"/>
        </w:rPr>
        <w:t>Δ</w:t>
      </w:r>
      <w:r>
        <w:rPr>
          <w:rFonts w:ascii="Times New Roman" w:hAnsi="Times New Roman" w:eastAsia="Times New Roman" w:cs="Times New Roman"/>
          <w:i/>
          <w:iCs/>
          <w:spacing w:val="-4"/>
          <w:sz w:val="24"/>
          <w:szCs w:val="24"/>
        </w:rPr>
        <w:t xml:space="preserve">t </w:t>
      </w:r>
      <w:r>
        <w:rPr>
          <w:rFonts w:ascii="Times New Roman" w:hAnsi="Times New Roman" w:eastAsia="Times New Roman" w:cs="Times New Roman"/>
          <w:spacing w:val="-4"/>
          <w:sz w:val="24"/>
          <w:szCs w:val="24"/>
        </w:rPr>
        <w:t xml:space="preserve">- </w:t>
      </w:r>
      <w:r>
        <w:rPr>
          <w:position w:val="-19"/>
          <w:sz w:val="24"/>
          <w:szCs w:val="24"/>
        </w:rPr>
        <w:drawing>
          <wp:inline distT="0" distB="0" distL="0" distR="0">
            <wp:extent cx="97790" cy="337820"/>
            <wp:effectExtent l="0" t="0" r="8890" b="1270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28"/>
                    <a:stretch>
                      <a:fillRect/>
                    </a:stretch>
                  </pic:blipFill>
                  <pic:spPr>
                    <a:xfrm>
                      <a:off x="0" y="0"/>
                      <a:ext cx="97959" cy="338374"/>
                    </a:xfrm>
                    <a:prstGeom prst="rect">
                      <a:avLst/>
                    </a:prstGeom>
                  </pic:spPr>
                </pic:pic>
              </a:graphicData>
            </a:graphic>
          </wp:inline>
        </w:drawing>
      </w:r>
      <w:r>
        <w:rPr>
          <w:rFonts w:ascii="Times New Roman" w:hAnsi="Times New Roman" w:eastAsia="Times New Roman" w:cs="Times New Roman"/>
          <w:spacing w:val="-13"/>
          <w:sz w:val="24"/>
          <w:szCs w:val="24"/>
        </w:rPr>
        <w:t xml:space="preserve"> </w:t>
      </w:r>
      <w:r>
        <w:rPr>
          <w:rFonts w:ascii="Arial" w:hAnsi="Arial" w:eastAsia="Arial" w:cs="Arial"/>
          <w:spacing w:val="-4"/>
          <w:sz w:val="32"/>
          <w:szCs w:val="32"/>
        </w:rPr>
        <w:t>(</w:t>
      </w:r>
      <w:r>
        <w:rPr>
          <w:rFonts w:ascii="Times New Roman" w:hAnsi="Times New Roman" w:eastAsia="Times New Roman" w:cs="Times New Roman"/>
          <w:i/>
          <w:iCs/>
          <w:spacing w:val="-4"/>
          <w:sz w:val="24"/>
          <w:szCs w:val="24"/>
        </w:rPr>
        <w:t>q</w:t>
      </w:r>
      <w:r>
        <w:rPr>
          <w:rFonts w:ascii="Times New Roman" w:hAnsi="Times New Roman" w:eastAsia="Times New Roman" w:cs="Times New Roman"/>
          <w:i/>
          <w:iCs/>
          <w:spacing w:val="-4"/>
          <w:position w:val="-5"/>
          <w:sz w:val="14"/>
          <w:szCs w:val="14"/>
        </w:rPr>
        <w:t>s</w:t>
      </w:r>
      <w:r>
        <w:rPr>
          <w:rFonts w:ascii="Times New Roman" w:hAnsi="Times New Roman" w:eastAsia="Times New Roman" w:cs="Times New Roman"/>
          <w:i/>
          <w:iCs/>
          <w:spacing w:val="11"/>
          <w:w w:val="102"/>
          <w:position w:val="-5"/>
          <w:sz w:val="14"/>
          <w:szCs w:val="14"/>
        </w:rPr>
        <w:t xml:space="preserve">  </w:t>
      </w:r>
      <w:r>
        <w:rPr>
          <w:rFonts w:ascii="Arial" w:hAnsi="Arial" w:eastAsia="Arial" w:cs="Arial"/>
          <w:spacing w:val="-4"/>
          <w:sz w:val="24"/>
          <w:szCs w:val="24"/>
        </w:rPr>
        <w:t xml:space="preserve">+ </w:t>
      </w:r>
      <w:r>
        <w:rPr>
          <w:rFonts w:ascii="Times New Roman" w:hAnsi="Times New Roman" w:eastAsia="Times New Roman" w:cs="Times New Roman"/>
          <w:i/>
          <w:iCs/>
          <w:spacing w:val="-4"/>
          <w:sz w:val="24"/>
          <w:szCs w:val="24"/>
        </w:rPr>
        <w:t>q</w:t>
      </w:r>
      <w:r>
        <w:rPr>
          <w:rFonts w:ascii="Times New Roman" w:hAnsi="Times New Roman" w:eastAsia="Times New Roman" w:cs="Times New Roman"/>
          <w:i/>
          <w:iCs/>
          <w:spacing w:val="-4"/>
          <w:position w:val="-5"/>
          <w:sz w:val="14"/>
          <w:szCs w:val="14"/>
        </w:rPr>
        <w:t>z</w:t>
      </w:r>
      <w:r>
        <w:rPr>
          <w:rFonts w:ascii="Times New Roman" w:hAnsi="Times New Roman" w:eastAsia="Times New Roman" w:cs="Times New Roman"/>
          <w:i/>
          <w:iCs/>
          <w:spacing w:val="22"/>
          <w:w w:val="101"/>
          <w:position w:val="-5"/>
          <w:sz w:val="14"/>
          <w:szCs w:val="14"/>
        </w:rPr>
        <w:t xml:space="preserve"> </w:t>
      </w:r>
      <w:r>
        <w:rPr>
          <w:rFonts w:ascii="Arial" w:hAnsi="Arial" w:eastAsia="Arial" w:cs="Arial"/>
          <w:spacing w:val="-4"/>
          <w:sz w:val="32"/>
          <w:szCs w:val="32"/>
        </w:rPr>
        <w:t>)</w:t>
      </w:r>
      <w:r>
        <w:rPr>
          <w:rFonts w:ascii="Arial" w:hAnsi="Arial" w:eastAsia="Arial" w:cs="Arial"/>
          <w:spacing w:val="-5"/>
          <w:sz w:val="24"/>
          <w:szCs w:val="24"/>
        </w:rPr>
        <w:t>Δ</w:t>
      </w:r>
      <w:r>
        <w:rPr>
          <w:rFonts w:ascii="Times New Roman" w:hAnsi="Times New Roman" w:eastAsia="Times New Roman" w:cs="Times New Roman"/>
          <w:i/>
          <w:iCs/>
          <w:spacing w:val="-5"/>
          <w:sz w:val="24"/>
          <w:szCs w:val="24"/>
        </w:rPr>
        <w:t>t</w:t>
      </w:r>
      <w:r>
        <w:rPr>
          <w:rFonts w:ascii="Times New Roman" w:hAnsi="Times New Roman" w:eastAsia="Times New Roman" w:cs="Times New Roman"/>
          <w:i/>
          <w:iCs/>
          <w:spacing w:val="20"/>
          <w:sz w:val="24"/>
          <w:szCs w:val="24"/>
        </w:rPr>
        <w:t xml:space="preserve"> </w:t>
      </w:r>
      <w:r>
        <w:rPr>
          <w:rFonts w:ascii="Arial" w:hAnsi="Arial" w:eastAsia="Arial" w:cs="Arial"/>
          <w:spacing w:val="-5"/>
          <w:sz w:val="24"/>
          <w:szCs w:val="24"/>
        </w:rPr>
        <w:t xml:space="preserve">= </w:t>
      </w:r>
      <w:r>
        <w:rPr>
          <w:rFonts w:ascii="Times New Roman" w:hAnsi="Times New Roman" w:eastAsia="Times New Roman" w:cs="Times New Roman"/>
          <w:i/>
          <w:iCs/>
          <w:spacing w:val="-5"/>
          <w:sz w:val="24"/>
          <w:szCs w:val="24"/>
        </w:rPr>
        <w:t>V</w:t>
      </w:r>
      <w:r>
        <w:rPr>
          <w:rFonts w:ascii="Times New Roman" w:hAnsi="Times New Roman" w:eastAsia="Times New Roman" w:cs="Times New Roman"/>
          <w:i/>
          <w:iCs/>
          <w:spacing w:val="-5"/>
          <w:position w:val="-5"/>
          <w:sz w:val="14"/>
          <w:szCs w:val="14"/>
        </w:rPr>
        <w:t xml:space="preserve">z   </w:t>
      </w:r>
      <w:r>
        <w:rPr>
          <w:rFonts w:ascii="Times New Roman" w:hAnsi="Times New Roman" w:eastAsia="Times New Roman" w:cs="Times New Roman"/>
          <w:spacing w:val="-5"/>
          <w:sz w:val="24"/>
          <w:szCs w:val="24"/>
        </w:rPr>
        <w:t xml:space="preserve">- </w:t>
      </w:r>
      <w:r>
        <w:rPr>
          <w:rFonts w:ascii="Times New Roman" w:hAnsi="Times New Roman" w:eastAsia="Times New Roman" w:cs="Times New Roman"/>
          <w:i/>
          <w:iCs/>
          <w:spacing w:val="-5"/>
          <w:sz w:val="24"/>
          <w:szCs w:val="24"/>
        </w:rPr>
        <w:t>V</w:t>
      </w:r>
      <w:r>
        <w:rPr>
          <w:rFonts w:ascii="Times New Roman" w:hAnsi="Times New Roman" w:eastAsia="Times New Roman" w:cs="Times New Roman"/>
          <w:i/>
          <w:iCs/>
          <w:spacing w:val="-5"/>
          <w:position w:val="-5"/>
          <w:sz w:val="14"/>
          <w:szCs w:val="14"/>
        </w:rPr>
        <w:t>s</w:t>
      </w:r>
      <w:r>
        <w:rPr>
          <w:rFonts w:ascii="Times New Roman" w:hAnsi="Times New Roman" w:eastAsia="Times New Roman" w:cs="Times New Roman"/>
          <w:i/>
          <w:iCs/>
          <w:position w:val="-5"/>
          <w:sz w:val="14"/>
          <w:szCs w:val="14"/>
        </w:rPr>
        <w:t xml:space="preserve"> </w:t>
      </w:r>
    </w:p>
    <w:p w14:paraId="7D290BEF">
      <w:pPr>
        <w:bidi w:val="0"/>
        <w:rPr>
          <w:rFonts w:hint="default" w:ascii="Times New Roman" w:hAnsi="Times New Roman" w:eastAsia="Times New Roman" w:cs="Times New Roman"/>
          <w:i/>
          <w:iCs/>
          <w:position w:val="-5"/>
          <w:sz w:val="14"/>
          <w:szCs w:val="14"/>
          <w:lang w:val="en-US" w:eastAsia="zh-CN"/>
        </w:rPr>
      </w:pPr>
    </w:p>
    <w:p w14:paraId="331766E1">
      <w:pPr>
        <w:bidi w:val="0"/>
        <w:rPr>
          <w:rFonts w:hint="default" w:ascii="Times New Roman" w:hAnsi="Times New Roman" w:cs="Times New Roman"/>
        </w:rPr>
      </w:pPr>
      <w:r>
        <w:rPr>
          <w:rFonts w:hint="default" w:ascii="Times New Roman" w:hAnsi="Times New Roman" w:cs="Times New Roman"/>
        </w:rPr>
        <w:t>式中：Qs  、Q z   ——时段始、终尾矿库的来洪流量m</w:t>
      </w:r>
      <w:r>
        <w:rPr>
          <w:rFonts w:hint="default" w:ascii="Times New Roman" w:hAnsi="Times New Roman" w:cs="Times New Roman"/>
          <w:vertAlign w:val="superscript"/>
        </w:rPr>
        <w:t>3</w:t>
      </w:r>
      <w:r>
        <w:rPr>
          <w:rFonts w:hint="default" w:ascii="Times New Roman" w:hAnsi="Times New Roman" w:cs="Times New Roman"/>
        </w:rPr>
        <w:t>/s；</w:t>
      </w:r>
    </w:p>
    <w:p w14:paraId="6F997611">
      <w:pPr>
        <w:bidi w:val="0"/>
        <w:rPr>
          <w:rFonts w:hint="default" w:ascii="Times New Roman" w:hAnsi="Times New Roman" w:cs="Times New Roman"/>
        </w:rPr>
      </w:pPr>
      <w:r>
        <w:rPr>
          <w:rFonts w:hint="default" w:ascii="Times New Roman" w:hAnsi="Times New Roman" w:cs="Times New Roman"/>
        </w:rPr>
        <w:t xml:space="preserve"> qs  、q z   ——时段始、终尾矿库的泄洪流量，m</w:t>
      </w:r>
      <w:r>
        <w:rPr>
          <w:rFonts w:hint="default" w:ascii="Times New Roman" w:hAnsi="Times New Roman" w:cs="Times New Roman"/>
          <w:vertAlign w:val="superscript"/>
        </w:rPr>
        <w:t>3</w:t>
      </w:r>
      <w:r>
        <w:rPr>
          <w:rFonts w:hint="default" w:ascii="Times New Roman" w:hAnsi="Times New Roman" w:cs="Times New Roman"/>
        </w:rPr>
        <w:t xml:space="preserve">/s； </w:t>
      </w:r>
    </w:p>
    <w:p w14:paraId="79E4B491">
      <w:pPr>
        <w:bidi w:val="0"/>
        <w:rPr>
          <w:rFonts w:hint="default" w:ascii="Times New Roman" w:hAnsi="Times New Roman" w:cs="Times New Roman"/>
        </w:rPr>
      </w:pPr>
      <w:r>
        <w:rPr>
          <w:rFonts w:hint="default" w:ascii="Times New Roman" w:hAnsi="Times New Roman" w:cs="Times New Roman"/>
        </w:rPr>
        <w:t>Vs  、Vz   ——时段始、终尾矿库的蓄洪量，m</w:t>
      </w:r>
      <w:r>
        <w:rPr>
          <w:rFonts w:hint="default" w:ascii="Times New Roman" w:hAnsi="Times New Roman" w:cs="Times New Roman"/>
          <w:vertAlign w:val="superscript"/>
        </w:rPr>
        <w:t>3</w:t>
      </w:r>
      <w:r>
        <w:rPr>
          <w:rFonts w:hint="default" w:ascii="Times New Roman" w:hAnsi="Times New Roman" w:cs="Times New Roman"/>
        </w:rPr>
        <w:t>。</w:t>
      </w:r>
    </w:p>
    <w:p w14:paraId="09DC0D4F">
      <w:pPr>
        <w:numPr>
          <w:ilvl w:val="0"/>
          <w:numId w:val="0"/>
        </w:numPr>
        <w:bidi w:val="0"/>
        <w:ind w:firstLine="560" w:firstLineChars="200"/>
        <w:rPr>
          <w:rFonts w:hint="eastAsia" w:ascii="Times New Roman" w:hAnsi="Times New Roman" w:cs="Times New Roman"/>
          <w:lang w:val="en-US" w:eastAsia="zh-CN"/>
        </w:rPr>
      </w:pPr>
      <w:r>
        <w:rPr>
          <w:rFonts w:hint="eastAsia" w:ascii="Times New Roman" w:hAnsi="Times New Roman" w:eastAsia="宋体" w:cs="Times New Roman"/>
          <w:kern w:val="2"/>
          <w:sz w:val="28"/>
          <w:szCs w:val="24"/>
          <w:lang w:val="en-US" w:eastAsia="zh-CN" w:bidi="ar-SA"/>
        </w:rPr>
        <w:t>12.</w:t>
      </w:r>
      <w:r>
        <w:rPr>
          <w:rFonts w:hint="eastAsia" w:ascii="Times New Roman" w:hAnsi="Times New Roman" w:cs="Times New Roman"/>
          <w:lang w:val="en-US" w:eastAsia="zh-CN"/>
        </w:rPr>
        <w:t>调洪演算结果</w:t>
      </w:r>
    </w:p>
    <w:p w14:paraId="71FCBE13">
      <w:pPr>
        <w:bidi w:val="0"/>
        <w:rPr>
          <w:rFonts w:hint="default" w:ascii="Times New Roman" w:hAnsi="Times New Roman" w:cs="Times New Roman"/>
        </w:rPr>
      </w:pPr>
      <w:r>
        <w:rPr>
          <w:rFonts w:hint="default" w:ascii="Times New Roman" w:hAnsi="Times New Roman" w:cs="Times New Roman"/>
        </w:rPr>
        <w:t xml:space="preserve">根据尾矿库 100 年一遇洪水过程线、排水构筑物的泄能力曲线 及尾矿库的调洪库容关系曲线，通过上节所述公式进行调洪演算， 可求得相应的调洪结果，调洪结果如下表 </w:t>
      </w:r>
      <w:r>
        <w:rPr>
          <w:rFonts w:hint="eastAsia" w:ascii="Times New Roman" w:hAnsi="Times New Roman" w:cs="Times New Roman"/>
          <w:lang w:val="en-US" w:eastAsia="zh-CN"/>
        </w:rPr>
        <w:t>5.3.2-11</w:t>
      </w:r>
      <w:r>
        <w:rPr>
          <w:rFonts w:hint="default" w:ascii="Times New Roman" w:hAnsi="Times New Roman" w:cs="Times New Roman"/>
        </w:rPr>
        <w:t>、</w:t>
      </w:r>
      <w:r>
        <w:rPr>
          <w:rFonts w:hint="eastAsia" w:ascii="Times New Roman" w:hAnsi="Times New Roman" w:cs="Times New Roman"/>
          <w:lang w:val="en-US" w:eastAsia="zh-CN"/>
        </w:rPr>
        <w:t>5.3.2-12</w:t>
      </w:r>
      <w:r>
        <w:rPr>
          <w:rFonts w:hint="default" w:ascii="Times New Roman" w:hAnsi="Times New Roman" w:cs="Times New Roman"/>
        </w:rPr>
        <w:t>。</w:t>
      </w:r>
    </w:p>
    <w:p w14:paraId="1FB8CE4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9504" behindDoc="0" locked="0" layoutInCell="1" allowOverlap="1">
                <wp:simplePos x="0" y="0"/>
                <wp:positionH relativeFrom="column">
                  <wp:posOffset>53340</wp:posOffset>
                </wp:positionH>
                <wp:positionV relativeFrom="paragraph">
                  <wp:posOffset>8937625</wp:posOffset>
                </wp:positionV>
                <wp:extent cx="5240655" cy="6350"/>
                <wp:effectExtent l="0" t="0" r="0" b="0"/>
                <wp:wrapNone/>
                <wp:docPr id="119" name="任意多边形 119"/>
                <wp:cNvGraphicFramePr/>
                <a:graphic xmlns:a="http://schemas.openxmlformats.org/drawingml/2006/main">
                  <a:graphicData uri="http://schemas.microsoft.com/office/word/2010/wordprocessingShape">
                    <wps:wsp>
                      <wps:cNvSpPr/>
                      <wps:spPr>
                        <a:xfrm>
                          <a:off x="0" y="0"/>
                          <a:ext cx="5240655" cy="6350"/>
                        </a:xfrm>
                        <a:custGeom>
                          <a:avLst/>
                          <a:gdLst/>
                          <a:ahLst/>
                          <a:cxnLst/>
                          <a:pathLst>
                            <a:path w="8252" h="10">
                              <a:moveTo>
                                <a:pt x="0" y="9"/>
                              </a:moveTo>
                              <a:lnTo>
                                <a:pt x="8252" y="9"/>
                              </a:lnTo>
                              <a:lnTo>
                                <a:pt x="8252" y="0"/>
                              </a:lnTo>
                              <a:lnTo>
                                <a:pt x="0" y="0"/>
                              </a:lnTo>
                              <a:lnTo>
                                <a:pt x="0" y="9"/>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4.2pt;margin-top:703.75pt;height:0.5pt;width:412.65pt;z-index:251669504;mso-width-relative:page;mso-height-relative:page;" fillcolor="#000000" filled="t" stroked="f" coordsize="8252,10" o:gfxdata="UEsDBAoAAAAAAIdO4kAAAAAAAAAAAAAAAAAEAAAAZHJzL1BLAwQUAAAACACHTuJA3AS3zNkAAAAL&#10;AQAADwAAAGRycy9kb3ducmV2LnhtbE2PTU/DMAyG70j8h8hI3Fg69tGuNJ0QCHGYhLQV7mnjtRWN&#10;UzXp1v17DJdx9OtHrx9n28l24oSDbx0pmM8iEEiVMy3VCj6Lt4cEhA+ajO4coYILetjmtzeZTo07&#10;0x5Ph1ALLiGfagVNCH0qpa8atNrPXI/Eu6MbrA48DrU0gz5zue3kYxStpdUt8YVG9/jSYPV9GK2C&#10;yfnCbz7ex6rod+vXy3O8+9qXSt3fzaMnEAGncIXhV5/VIWen0o1kvOgUJEsGOV5G8QoEA8liEYMo&#10;/6JkBTLP5P8f8h9QSwMEFAAAAAgAh07iQIeoUr4YAgAAfQQAAA4AAABkcnMvZTJvRG9jLnhtbK1U&#10;zY7TMBC+I/EOlu80aaHVUjXdA9VyQbDSLg/gOk5jyX/yuE17586dI+Il0AqeZhfxGDt26rZbLnsg&#10;h3jsGX8z3zeTzC63WpGN8CCtqehwUFIiDLe1NKuKfr69enVBCQRmaqasERXdCaCX85cvZp2bipFt&#10;raqFJwhiYNq5irYhuGlRAG+FZjCwThh0NtZrFnDrV0XtWYfoWhWjspwUnfW185YLADxd9E66R/TP&#10;AbRNI7lYWL7WwoQe1QvFAlKCVjqg81Rt0wgePjUNiEBURZFpSG9MgvYyvov5jE1XnrlW8n0J7Dkl&#10;nHHSTBpMeoBasMDI2st/oLTk3oJtwoBbXfREkiLIYlieaXPTMicSF5Qa3EF0+H+w/OPm2hNZ4yQM&#10;31JimMaW39/d/fny9eHHt7+/fz78+k6iC4XqHEwx/sZd+/0O0Iyst43XcUU+ZJvE3R3EFdtAOB6O&#10;R2/KyXhMCUff5PU4aV8c7/I1hPfCJhy2+QChb02dLdZmi29NNh0L8TjmjibpKnoxGo8oaZFQmTqi&#10;7Ubc2hQRjsUlQpj96FXmNKpHwUpzYHbn1SWwQ1hmk9157cNw2rIgmDP78noac56OKwsClcBrkeDB&#10;SKTx8FQ1sErWV1KpSBb8avlOebJhcfLTE3uIV56EKRODjY3Xenc8KWKr++ZGa2nrHU7J2nm5avET&#10;Giak6MGpTJj7LyiO/ek+IR3/GvN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3AS3zNkAAAALAQAA&#10;DwAAAAAAAAABACAAAAAiAAAAZHJzL2Rvd25yZXYueG1sUEsBAhQAFAAAAAgAh07iQIeoUr4YAgAA&#10;fQQAAA4AAAAAAAAAAQAgAAAAKAEAAGRycy9lMm9Eb2MueG1sUEsFBgAAAAAGAAYAWQEAALIFAAAA&#10;AA==&#10;" path="m0,9l8252,9,8252,0,0,0,0,9xe">
                <v:fill on="t" focussize="0,0"/>
                <v:stroke on="f"/>
                <v:imagedata o:title=""/>
                <o:lock v:ext="edit" aspectratio="f"/>
              </v:shape>
            </w:pict>
          </mc:Fallback>
        </mc:AlternateContent>
      </w:r>
      <w:r>
        <w:rPr>
          <w:rFonts w:hint="default" w:ascii="Times New Roman" w:hAnsi="Times New Roman" w:cs="Times New Roman"/>
        </w:rPr>
        <w:t>表</w:t>
      </w:r>
      <w:r>
        <w:rPr>
          <w:rFonts w:hint="eastAsia" w:ascii="Times New Roman" w:hAnsi="Times New Roman" w:cs="Times New Roman"/>
          <w:lang w:val="en-US" w:eastAsia="zh-CN"/>
        </w:rPr>
        <w:t>5.3.2</w:t>
      </w:r>
      <w:r>
        <w:rPr>
          <w:rFonts w:hint="default" w:ascii="Times New Roman" w:hAnsi="Times New Roman" w:cs="Times New Roman"/>
        </w:rPr>
        <w:t>-11  尾矿库 100 年一遇调洪演算表</w:t>
      </w:r>
    </w:p>
    <w:tbl>
      <w:tblPr>
        <w:tblStyle w:val="27"/>
        <w:tblW w:w="84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5"/>
        <w:gridCol w:w="1176"/>
        <w:gridCol w:w="1201"/>
        <w:gridCol w:w="1176"/>
        <w:gridCol w:w="1264"/>
        <w:gridCol w:w="1204"/>
        <w:gridCol w:w="1269"/>
      </w:tblGrid>
      <w:tr w14:paraId="2F61FC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1125" w:type="dxa"/>
            <w:vAlign w:val="top"/>
          </w:tcPr>
          <w:p w14:paraId="539F25CB">
            <w:pPr>
              <w:keepNext w:val="0"/>
              <w:keepLines w:val="0"/>
              <w:pageBreakBefore w:val="0"/>
              <w:widowControl/>
              <w:kinsoku w:val="0"/>
              <w:wordWrap/>
              <w:overflowPunct/>
              <w:topLinePunct w:val="0"/>
              <w:autoSpaceDE w:val="0"/>
              <w:autoSpaceDN w:val="0"/>
              <w:bidi w:val="0"/>
              <w:adjustRightInd w:val="0"/>
              <w:snapToGrid w:val="0"/>
              <w:spacing w:before="225" w:line="240" w:lineRule="auto"/>
              <w:ind w:left="529" w:firstLine="0" w:firstLineChars="0"/>
              <w:jc w:val="left"/>
              <w:textAlignment w:val="baseline"/>
              <w:rPr>
                <w:rFonts w:ascii="Times New Roman" w:hAnsi="Times New Roman" w:eastAsia="Times New Roman" w:cs="Times New Roman"/>
                <w:snapToGrid w:val="0"/>
                <w:color w:val="000000"/>
                <w:kern w:val="0"/>
                <w:sz w:val="23"/>
                <w:szCs w:val="23"/>
                <w:lang w:eastAsia="en-US"/>
              </w:rPr>
            </w:pPr>
            <w:r>
              <w:rPr>
                <w:rFonts w:ascii="Times New Roman" w:hAnsi="Times New Roman" w:eastAsia="Times New Roman" w:cs="Times New Roman"/>
                <w:i/>
                <w:iCs/>
                <w:snapToGrid w:val="0"/>
                <w:color w:val="000000"/>
                <w:kern w:val="0"/>
                <w:sz w:val="23"/>
                <w:szCs w:val="23"/>
                <w:lang w:eastAsia="en-US"/>
              </w:rPr>
              <w:t>t</w:t>
            </w:r>
          </w:p>
          <w:p w14:paraId="18FE4B96">
            <w:pPr>
              <w:keepNext w:val="0"/>
              <w:keepLines w:val="0"/>
              <w:pageBreakBefore w:val="0"/>
              <w:widowControl/>
              <w:kinsoku w:val="0"/>
              <w:wordWrap/>
              <w:overflowPunct/>
              <w:topLinePunct w:val="0"/>
              <w:autoSpaceDE w:val="0"/>
              <w:autoSpaceDN w:val="0"/>
              <w:bidi w:val="0"/>
              <w:adjustRightInd w:val="0"/>
              <w:snapToGrid w:val="0"/>
              <w:spacing w:before="36" w:line="240" w:lineRule="auto"/>
              <w:ind w:left="5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h</w:t>
            </w:r>
          </w:p>
        </w:tc>
        <w:tc>
          <w:tcPr>
            <w:tcW w:w="1176" w:type="dxa"/>
            <w:vAlign w:val="top"/>
          </w:tcPr>
          <w:p w14:paraId="27FDBC68">
            <w:pPr>
              <w:keepNext w:val="0"/>
              <w:keepLines w:val="0"/>
              <w:pageBreakBefore w:val="0"/>
              <w:widowControl/>
              <w:kinsoku w:val="0"/>
              <w:wordWrap/>
              <w:overflowPunct/>
              <w:topLinePunct w:val="0"/>
              <w:autoSpaceDE w:val="0"/>
              <w:autoSpaceDN w:val="0"/>
              <w:bidi w:val="0"/>
              <w:adjustRightInd w:val="0"/>
              <w:snapToGrid w:val="0"/>
              <w:spacing w:before="229" w:line="240" w:lineRule="auto"/>
              <w:ind w:left="502" w:firstLine="0" w:firstLineChars="0"/>
              <w:jc w:val="left"/>
              <w:textAlignment w:val="baseline"/>
              <w:rPr>
                <w:rFonts w:ascii="Times New Roman" w:hAnsi="Times New Roman" w:eastAsia="Times New Roman" w:cs="Times New Roman"/>
                <w:snapToGrid w:val="0"/>
                <w:color w:val="000000"/>
                <w:kern w:val="0"/>
                <w:sz w:val="22"/>
                <w:szCs w:val="22"/>
                <w:lang w:eastAsia="en-US"/>
              </w:rPr>
            </w:pPr>
            <w:r>
              <w:rPr>
                <w:rFonts w:ascii="Times New Roman" w:hAnsi="Times New Roman" w:eastAsia="Times New Roman" w:cs="Times New Roman"/>
                <w:i/>
                <w:iCs/>
                <w:snapToGrid w:val="0"/>
                <w:color w:val="000000"/>
                <w:kern w:val="0"/>
                <w:sz w:val="22"/>
                <w:szCs w:val="22"/>
                <w:lang w:eastAsia="en-US"/>
              </w:rPr>
              <w:t>Q</w:t>
            </w:r>
          </w:p>
          <w:p w14:paraId="72E1677F">
            <w:pPr>
              <w:keepNext w:val="0"/>
              <w:keepLines w:val="0"/>
              <w:pageBreakBefore w:val="0"/>
              <w:widowControl/>
              <w:kinsoku w:val="0"/>
              <w:wordWrap/>
              <w:overflowPunct/>
              <w:topLinePunct w:val="0"/>
              <w:autoSpaceDE w:val="0"/>
              <w:autoSpaceDN w:val="0"/>
              <w:bidi w:val="0"/>
              <w:adjustRightInd w:val="0"/>
              <w:snapToGrid w:val="0"/>
              <w:spacing w:before="81" w:line="240" w:lineRule="auto"/>
              <w:ind w:left="37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
                <w:kern w:val="0"/>
                <w:sz w:val="24"/>
                <w:szCs w:val="24"/>
                <w:lang w:val="en-US" w:eastAsia="en-US" w:bidi="ar-SA"/>
              </w:rPr>
              <w:t>m</w:t>
            </w:r>
            <w:r>
              <w:rPr>
                <w:rFonts w:ascii="仿宋" w:hAnsi="仿宋" w:eastAsia="仿宋" w:cs="仿宋"/>
                <w:snapToGrid w:val="0"/>
                <w:color w:val="000000"/>
                <w:spacing w:val="1"/>
                <w:kern w:val="0"/>
                <w:position w:val="11"/>
                <w:sz w:val="12"/>
                <w:szCs w:val="12"/>
                <w:lang w:val="en-US" w:eastAsia="en-US" w:bidi="ar-SA"/>
              </w:rPr>
              <w:t>3</w:t>
            </w:r>
            <w:r>
              <w:rPr>
                <w:rFonts w:ascii="仿宋" w:hAnsi="仿宋" w:eastAsia="仿宋" w:cs="仿宋"/>
                <w:snapToGrid w:val="0"/>
                <w:color w:val="000000"/>
                <w:spacing w:val="1"/>
                <w:kern w:val="0"/>
                <w:sz w:val="24"/>
                <w:szCs w:val="24"/>
                <w:lang w:val="en-US" w:eastAsia="en-US" w:bidi="ar-SA"/>
              </w:rPr>
              <w:t>/s</w:t>
            </w:r>
          </w:p>
        </w:tc>
        <w:tc>
          <w:tcPr>
            <w:tcW w:w="1201" w:type="dxa"/>
            <w:vAlign w:val="top"/>
          </w:tcPr>
          <w:p w14:paraId="6353F7CE">
            <w:pPr>
              <w:keepNext w:val="0"/>
              <w:keepLines w:val="0"/>
              <w:pageBreakBefore w:val="0"/>
              <w:widowControl/>
              <w:tabs>
                <w:tab w:val="left" w:pos="678"/>
              </w:tabs>
              <w:kinsoku w:val="0"/>
              <w:wordWrap/>
              <w:overflowPunct/>
              <w:topLinePunct w:val="0"/>
              <w:autoSpaceDE w:val="0"/>
              <w:autoSpaceDN w:val="0"/>
              <w:bidi w:val="0"/>
              <w:adjustRightInd w:val="0"/>
              <w:snapToGrid w:val="0"/>
              <w:spacing w:line="240" w:lineRule="auto"/>
              <w:ind w:left="516" w:firstLine="0" w:firstLineChars="0"/>
              <w:jc w:val="left"/>
              <w:textAlignment w:val="baseline"/>
              <w:rPr>
                <w:rFonts w:ascii="Arial" w:hAnsi="Arial" w:eastAsia="Arial" w:cs="Arial"/>
                <w:snapToGrid w:val="0"/>
                <w:color w:val="000000"/>
                <w:kern w:val="0"/>
                <w:sz w:val="21"/>
                <w:szCs w:val="21"/>
                <w:lang w:eastAsia="en-US"/>
              </w:rPr>
            </w:pPr>
            <w:r>
              <w:rPr>
                <w:rFonts w:ascii="Arial" w:hAnsi="Arial" w:eastAsia="Arial" w:cs="Arial"/>
                <w:snapToGrid w:val="0"/>
                <w:color w:val="000000"/>
                <w:kern w:val="0"/>
                <w:sz w:val="21"/>
                <w:szCs w:val="21"/>
                <w:u w:val="single" w:color="auto"/>
                <w:lang w:eastAsia="en-US"/>
              </w:rPr>
              <w:tab/>
            </w:r>
          </w:p>
          <w:p w14:paraId="3322BB82">
            <w:pPr>
              <w:keepNext w:val="0"/>
              <w:keepLines w:val="0"/>
              <w:pageBreakBefore w:val="0"/>
              <w:widowControl/>
              <w:kinsoku w:val="0"/>
              <w:wordWrap/>
              <w:overflowPunct/>
              <w:topLinePunct w:val="0"/>
              <w:autoSpaceDE w:val="0"/>
              <w:autoSpaceDN w:val="0"/>
              <w:bidi w:val="0"/>
              <w:adjustRightInd w:val="0"/>
              <w:snapToGrid w:val="0"/>
              <w:spacing w:before="19" w:line="240" w:lineRule="auto"/>
              <w:ind w:left="515" w:firstLine="0" w:firstLineChars="0"/>
              <w:jc w:val="left"/>
              <w:textAlignment w:val="baseline"/>
              <w:rPr>
                <w:rFonts w:ascii="Times New Roman" w:hAnsi="Times New Roman" w:eastAsia="Times New Roman" w:cs="Times New Roman"/>
                <w:snapToGrid w:val="0"/>
                <w:color w:val="000000"/>
                <w:kern w:val="0"/>
                <w:sz w:val="22"/>
                <w:szCs w:val="22"/>
                <w:lang w:eastAsia="en-US"/>
              </w:rPr>
            </w:pPr>
            <w:r>
              <w:rPr>
                <w:rFonts w:ascii="Times New Roman" w:hAnsi="Times New Roman" w:eastAsia="Times New Roman" w:cs="Times New Roman"/>
                <w:i/>
                <w:iCs/>
                <w:snapToGrid w:val="0"/>
                <w:color w:val="000000"/>
                <w:kern w:val="0"/>
                <w:sz w:val="22"/>
                <w:szCs w:val="22"/>
                <w:lang w:eastAsia="en-US"/>
              </w:rPr>
              <w:t>Q</w:t>
            </w:r>
          </w:p>
          <w:p w14:paraId="62B9F8E0">
            <w:pPr>
              <w:keepNext w:val="0"/>
              <w:keepLines w:val="0"/>
              <w:pageBreakBefore w:val="0"/>
              <w:widowControl/>
              <w:kinsoku w:val="0"/>
              <w:wordWrap/>
              <w:overflowPunct/>
              <w:topLinePunct w:val="0"/>
              <w:autoSpaceDE w:val="0"/>
              <w:autoSpaceDN w:val="0"/>
              <w:bidi w:val="0"/>
              <w:adjustRightInd w:val="0"/>
              <w:snapToGrid w:val="0"/>
              <w:spacing w:before="218" w:line="240" w:lineRule="auto"/>
              <w:ind w:left="38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
                <w:kern w:val="0"/>
                <w:sz w:val="24"/>
                <w:szCs w:val="24"/>
                <w:lang w:val="en-US" w:eastAsia="en-US" w:bidi="ar-SA"/>
              </w:rPr>
              <w:t>m</w:t>
            </w:r>
            <w:r>
              <w:rPr>
                <w:rFonts w:ascii="仿宋" w:hAnsi="仿宋" w:eastAsia="仿宋" w:cs="仿宋"/>
                <w:snapToGrid w:val="0"/>
                <w:color w:val="000000"/>
                <w:spacing w:val="1"/>
                <w:kern w:val="0"/>
                <w:position w:val="11"/>
                <w:sz w:val="12"/>
                <w:szCs w:val="12"/>
                <w:lang w:val="en-US" w:eastAsia="en-US" w:bidi="ar-SA"/>
              </w:rPr>
              <w:t>3</w:t>
            </w:r>
            <w:r>
              <w:rPr>
                <w:rFonts w:ascii="仿宋" w:hAnsi="仿宋" w:eastAsia="仿宋" w:cs="仿宋"/>
                <w:snapToGrid w:val="0"/>
                <w:color w:val="000000"/>
                <w:spacing w:val="1"/>
                <w:kern w:val="0"/>
                <w:sz w:val="24"/>
                <w:szCs w:val="24"/>
                <w:lang w:val="en-US" w:eastAsia="en-US" w:bidi="ar-SA"/>
              </w:rPr>
              <w:t>/s</w:t>
            </w:r>
          </w:p>
        </w:tc>
        <w:tc>
          <w:tcPr>
            <w:tcW w:w="1176" w:type="dxa"/>
            <w:vAlign w:val="top"/>
          </w:tcPr>
          <w:p w14:paraId="70DF2FD5">
            <w:pPr>
              <w:keepNext w:val="0"/>
              <w:keepLines w:val="0"/>
              <w:pageBreakBefore w:val="0"/>
              <w:widowControl/>
              <w:tabs>
                <w:tab w:val="left" w:pos="552"/>
              </w:tabs>
              <w:kinsoku w:val="0"/>
              <w:wordWrap/>
              <w:overflowPunct/>
              <w:topLinePunct w:val="0"/>
              <w:autoSpaceDE w:val="0"/>
              <w:autoSpaceDN w:val="0"/>
              <w:bidi w:val="0"/>
              <w:adjustRightInd w:val="0"/>
              <w:snapToGrid w:val="0"/>
              <w:spacing w:line="240" w:lineRule="auto"/>
              <w:ind w:left="393" w:firstLine="0" w:firstLineChars="0"/>
              <w:jc w:val="left"/>
              <w:textAlignment w:val="baseline"/>
              <w:rPr>
                <w:rFonts w:ascii="Arial" w:hAnsi="Arial" w:eastAsia="Arial" w:cs="Arial"/>
                <w:snapToGrid w:val="0"/>
                <w:color w:val="000000"/>
                <w:kern w:val="0"/>
                <w:sz w:val="21"/>
                <w:szCs w:val="21"/>
                <w:lang w:eastAsia="en-US"/>
              </w:rPr>
            </w:pPr>
            <w:r>
              <w:rPr>
                <w:rFonts w:ascii="Arial" w:hAnsi="Arial" w:eastAsia="Arial" w:cs="Arial"/>
                <w:snapToGrid w:val="0"/>
                <w:color w:val="000000"/>
                <w:kern w:val="0"/>
                <w:sz w:val="21"/>
                <w:szCs w:val="21"/>
                <w:u w:val="single" w:color="auto"/>
                <w:lang w:eastAsia="en-US"/>
              </w:rPr>
              <w:tab/>
            </w:r>
          </w:p>
          <w:p w14:paraId="76EB5DA2">
            <w:pPr>
              <w:keepNext w:val="0"/>
              <w:keepLines w:val="0"/>
              <w:pageBreakBefore w:val="0"/>
              <w:widowControl/>
              <w:kinsoku w:val="0"/>
              <w:wordWrap/>
              <w:overflowPunct/>
              <w:topLinePunct w:val="0"/>
              <w:autoSpaceDE w:val="0"/>
              <w:autoSpaceDN w:val="0"/>
              <w:bidi w:val="0"/>
              <w:adjustRightInd w:val="0"/>
              <w:snapToGrid w:val="0"/>
              <w:spacing w:before="19" w:line="240" w:lineRule="auto"/>
              <w:ind w:left="497" w:right="406" w:firstLine="0" w:firstLineChars="0"/>
              <w:jc w:val="left"/>
              <w:textAlignment w:val="baseline"/>
              <w:rPr>
                <w:rFonts w:ascii="仿宋" w:hAnsi="仿宋" w:eastAsia="仿宋" w:cs="仿宋"/>
                <w:snapToGrid w:val="0"/>
                <w:color w:val="000000"/>
                <w:kern w:val="0"/>
                <w:sz w:val="12"/>
                <w:szCs w:val="12"/>
                <w:lang w:val="en-US" w:eastAsia="en-US" w:bidi="ar-SA"/>
              </w:rPr>
            </w:pPr>
            <w:r>
              <w:rPr>
                <w:rFonts w:ascii="Times New Roman" w:hAnsi="Times New Roman" w:eastAsia="Times New Roman" w:cs="Times New Roman"/>
                <w:i/>
                <w:iCs/>
                <w:snapToGrid w:val="0"/>
                <w:color w:val="000000"/>
                <w:spacing w:val="1"/>
                <w:kern w:val="0"/>
                <w:sz w:val="22"/>
                <w:szCs w:val="22"/>
                <w:lang w:val="en-US" w:eastAsia="en-US" w:bidi="ar-SA"/>
              </w:rPr>
              <w:t>Q</w:t>
            </w:r>
            <w:r>
              <w:rPr>
                <w:rFonts w:ascii="Arial" w:hAnsi="Arial" w:eastAsia="Arial" w:cs="Arial"/>
                <w:snapToGrid w:val="0"/>
                <w:color w:val="000000"/>
                <w:spacing w:val="1"/>
                <w:kern w:val="0"/>
                <w:sz w:val="22"/>
                <w:szCs w:val="22"/>
                <w:lang w:val="en-US" w:eastAsia="en-US" w:bidi="ar-SA"/>
              </w:rPr>
              <w:t>Δ</w:t>
            </w:r>
            <w:r>
              <w:rPr>
                <w:rFonts w:ascii="Times New Roman" w:hAnsi="Times New Roman" w:eastAsia="Times New Roman" w:cs="Times New Roman"/>
                <w:i/>
                <w:iCs/>
                <w:snapToGrid w:val="0"/>
                <w:color w:val="000000"/>
                <w:spacing w:val="1"/>
                <w:kern w:val="0"/>
                <w:sz w:val="22"/>
                <w:szCs w:val="22"/>
                <w:lang w:val="en-US" w:eastAsia="en-US" w:bidi="ar-SA"/>
              </w:rPr>
              <w:t xml:space="preserve">t </w:t>
            </w:r>
            <w:r>
              <w:rPr>
                <w:rFonts w:ascii="仿宋" w:hAnsi="仿宋" w:eastAsia="仿宋" w:cs="仿宋"/>
                <w:snapToGrid w:val="0"/>
                <w:color w:val="000000"/>
                <w:spacing w:val="-2"/>
                <w:kern w:val="0"/>
                <w:position w:val="-1"/>
                <w:sz w:val="24"/>
                <w:szCs w:val="24"/>
                <w:lang w:val="en-US" w:eastAsia="en-US" w:bidi="ar-SA"/>
              </w:rPr>
              <w:t>m</w:t>
            </w:r>
            <w:r>
              <w:rPr>
                <w:rFonts w:ascii="仿宋" w:hAnsi="仿宋" w:eastAsia="仿宋" w:cs="仿宋"/>
                <w:snapToGrid w:val="0"/>
                <w:color w:val="000000"/>
                <w:spacing w:val="-2"/>
                <w:kern w:val="0"/>
                <w:position w:val="10"/>
                <w:sz w:val="12"/>
                <w:szCs w:val="12"/>
                <w:lang w:val="en-US" w:eastAsia="en-US" w:bidi="ar-SA"/>
              </w:rPr>
              <w:t>3</w:t>
            </w:r>
          </w:p>
        </w:tc>
        <w:tc>
          <w:tcPr>
            <w:tcW w:w="1264" w:type="dxa"/>
            <w:vAlign w:val="top"/>
          </w:tcPr>
          <w:p w14:paraId="0DD618FE">
            <w:pPr>
              <w:keepNext w:val="0"/>
              <w:keepLines w:val="0"/>
              <w:pageBreakBefore w:val="0"/>
              <w:widowControl/>
              <w:kinsoku w:val="0"/>
              <w:wordWrap/>
              <w:overflowPunct/>
              <w:topLinePunct w:val="0"/>
              <w:autoSpaceDE w:val="0"/>
              <w:autoSpaceDN w:val="0"/>
              <w:bidi w:val="0"/>
              <w:adjustRightInd w:val="0"/>
              <w:snapToGrid w:val="0"/>
              <w:spacing w:before="89" w:line="240" w:lineRule="auto"/>
              <w:ind w:left="183" w:firstLine="0" w:firstLineChars="0"/>
              <w:jc w:val="left"/>
              <w:textAlignment w:val="baseline"/>
              <w:rPr>
                <w:rFonts w:ascii="Times New Roman" w:hAnsi="Times New Roman" w:eastAsia="Times New Roman" w:cs="Times New Roman"/>
                <w:snapToGrid w:val="0"/>
                <w:color w:val="000000"/>
                <w:kern w:val="0"/>
                <w:sz w:val="22"/>
                <w:szCs w:val="22"/>
                <w:lang w:eastAsia="en-US"/>
              </w:rPr>
            </w:pPr>
            <w:r>
              <w:rPr>
                <w:rFonts w:ascii="Times New Roman" w:hAnsi="Times New Roman" w:eastAsia="Times New Roman" w:cs="Times New Roman"/>
                <w:i/>
                <w:iCs/>
                <w:snapToGrid w:val="0"/>
                <w:color w:val="000000"/>
                <w:spacing w:val="1"/>
                <w:kern w:val="0"/>
                <w:sz w:val="22"/>
                <w:szCs w:val="22"/>
                <w:lang w:eastAsia="en-US"/>
              </w:rPr>
              <w:t>V</w:t>
            </w:r>
            <w:r>
              <w:rPr>
                <w:rFonts w:ascii="Times New Roman" w:hAnsi="Times New Roman" w:eastAsia="Times New Roman" w:cs="Times New Roman"/>
                <w:i/>
                <w:iCs/>
                <w:snapToGrid w:val="0"/>
                <w:color w:val="000000"/>
                <w:spacing w:val="6"/>
                <w:kern w:val="0"/>
                <w:sz w:val="22"/>
                <w:szCs w:val="22"/>
                <w:lang w:eastAsia="en-US"/>
              </w:rPr>
              <w:t xml:space="preserve"> </w:t>
            </w:r>
            <w:r>
              <w:rPr>
                <w:rFonts w:ascii="Arial" w:hAnsi="Arial" w:eastAsia="Arial" w:cs="Arial"/>
                <w:snapToGrid w:val="0"/>
                <w:color w:val="000000"/>
                <w:spacing w:val="1"/>
                <w:kern w:val="0"/>
                <w:sz w:val="22"/>
                <w:szCs w:val="22"/>
                <w:lang w:eastAsia="en-US"/>
              </w:rPr>
              <w:t>+</w:t>
            </w:r>
            <w:r>
              <w:rPr>
                <w:rFonts w:ascii="Arial" w:hAnsi="Arial" w:eastAsia="Arial" w:cs="Arial"/>
                <w:snapToGrid w:val="0"/>
                <w:color w:val="000000"/>
                <w:spacing w:val="-6"/>
                <w:kern w:val="0"/>
                <w:sz w:val="22"/>
                <w:szCs w:val="22"/>
                <w:lang w:eastAsia="en-US"/>
              </w:rPr>
              <w:t xml:space="preserve"> </w:t>
            </w:r>
            <w:r>
              <w:rPr>
                <w:rFonts w:ascii="Arial" w:hAnsi="Arial" w:eastAsia="Arial" w:cs="Arial"/>
                <w:snapToGrid w:val="0"/>
                <w:color w:val="000000"/>
                <w:kern w:val="0"/>
                <w:position w:val="-18"/>
                <w:sz w:val="22"/>
                <w:szCs w:val="22"/>
                <w:lang w:eastAsia="en-US"/>
              </w:rPr>
              <w:drawing>
                <wp:inline distT="0" distB="0" distL="0" distR="0">
                  <wp:extent cx="90170" cy="308610"/>
                  <wp:effectExtent l="0" t="0" r="1270" b="1143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29"/>
                          <a:stretch>
                            <a:fillRect/>
                          </a:stretch>
                        </pic:blipFill>
                        <pic:spPr>
                          <a:xfrm>
                            <a:off x="0" y="0"/>
                            <a:ext cx="90549" cy="309074"/>
                          </a:xfrm>
                          <a:prstGeom prst="rect">
                            <a:avLst/>
                          </a:prstGeom>
                        </pic:spPr>
                      </pic:pic>
                    </a:graphicData>
                  </a:graphic>
                </wp:inline>
              </w:drawing>
            </w:r>
            <w:r>
              <w:rPr>
                <w:rFonts w:ascii="Arial" w:hAnsi="Arial" w:eastAsia="Arial" w:cs="Arial"/>
                <w:snapToGrid w:val="0"/>
                <w:color w:val="000000"/>
                <w:spacing w:val="-16"/>
                <w:kern w:val="0"/>
                <w:sz w:val="22"/>
                <w:szCs w:val="22"/>
                <w:lang w:eastAsia="en-US"/>
              </w:rPr>
              <w:t xml:space="preserve"> </w:t>
            </w:r>
            <w:r>
              <w:rPr>
                <w:rFonts w:ascii="Times New Roman" w:hAnsi="Times New Roman" w:eastAsia="Times New Roman" w:cs="Times New Roman"/>
                <w:i/>
                <w:iCs/>
                <w:snapToGrid w:val="0"/>
                <w:color w:val="000000"/>
                <w:spacing w:val="1"/>
                <w:kern w:val="0"/>
                <w:sz w:val="22"/>
                <w:szCs w:val="22"/>
                <w:lang w:eastAsia="en-US"/>
              </w:rPr>
              <w:t>q</w:t>
            </w:r>
            <w:r>
              <w:rPr>
                <w:rFonts w:ascii="Arial" w:hAnsi="Arial" w:eastAsia="Arial" w:cs="Arial"/>
                <w:snapToGrid w:val="0"/>
                <w:color w:val="000000"/>
                <w:spacing w:val="1"/>
                <w:kern w:val="0"/>
                <w:sz w:val="22"/>
                <w:szCs w:val="22"/>
                <w:lang w:eastAsia="en-US"/>
              </w:rPr>
              <w:t>Δ</w:t>
            </w:r>
            <w:r>
              <w:rPr>
                <w:rFonts w:ascii="Times New Roman" w:hAnsi="Times New Roman" w:eastAsia="Times New Roman" w:cs="Times New Roman"/>
                <w:i/>
                <w:iCs/>
                <w:snapToGrid w:val="0"/>
                <w:color w:val="000000"/>
                <w:spacing w:val="1"/>
                <w:kern w:val="0"/>
                <w:sz w:val="22"/>
                <w:szCs w:val="22"/>
                <w:lang w:eastAsia="en-US"/>
              </w:rPr>
              <w:t>t</w:t>
            </w:r>
          </w:p>
          <w:p w14:paraId="6EA4B372">
            <w:pPr>
              <w:keepNext w:val="0"/>
              <w:keepLines w:val="0"/>
              <w:pageBreakBefore w:val="0"/>
              <w:widowControl/>
              <w:kinsoku w:val="0"/>
              <w:wordWrap/>
              <w:overflowPunct/>
              <w:topLinePunct w:val="0"/>
              <w:autoSpaceDE w:val="0"/>
              <w:autoSpaceDN w:val="0"/>
              <w:bidi w:val="0"/>
              <w:adjustRightInd w:val="0"/>
              <w:snapToGrid w:val="0"/>
              <w:spacing w:before="100" w:line="240" w:lineRule="auto"/>
              <w:ind w:left="544" w:firstLine="0" w:firstLineChars="0"/>
              <w:jc w:val="left"/>
              <w:textAlignment w:val="baseline"/>
              <w:rPr>
                <w:rFonts w:ascii="仿宋" w:hAnsi="仿宋" w:eastAsia="仿宋" w:cs="仿宋"/>
                <w:snapToGrid w:val="0"/>
                <w:color w:val="000000"/>
                <w:kern w:val="0"/>
                <w:sz w:val="12"/>
                <w:szCs w:val="12"/>
                <w:lang w:val="en-US" w:eastAsia="en-US" w:bidi="ar-SA"/>
              </w:rPr>
            </w:pPr>
            <w:r>
              <w:rPr>
                <w:rFonts w:ascii="仿宋" w:hAnsi="仿宋" w:eastAsia="仿宋" w:cs="仿宋"/>
                <w:snapToGrid w:val="0"/>
                <w:color w:val="000000"/>
                <w:spacing w:val="-2"/>
                <w:kern w:val="0"/>
                <w:position w:val="-1"/>
                <w:sz w:val="24"/>
                <w:szCs w:val="24"/>
                <w:lang w:val="en-US" w:eastAsia="en-US" w:bidi="ar-SA"/>
              </w:rPr>
              <w:t>m</w:t>
            </w:r>
            <w:r>
              <w:rPr>
                <w:rFonts w:ascii="仿宋" w:hAnsi="仿宋" w:eastAsia="仿宋" w:cs="仿宋"/>
                <w:snapToGrid w:val="0"/>
                <w:color w:val="000000"/>
                <w:spacing w:val="-2"/>
                <w:kern w:val="0"/>
                <w:position w:val="10"/>
                <w:sz w:val="12"/>
                <w:szCs w:val="12"/>
                <w:lang w:val="en-US" w:eastAsia="en-US" w:bidi="ar-SA"/>
              </w:rPr>
              <w:t>3</w:t>
            </w:r>
          </w:p>
        </w:tc>
        <w:tc>
          <w:tcPr>
            <w:tcW w:w="1204" w:type="dxa"/>
            <w:vAlign w:val="top"/>
          </w:tcPr>
          <w:p w14:paraId="7F09275A">
            <w:pPr>
              <w:keepNext w:val="0"/>
              <w:keepLines w:val="0"/>
              <w:pageBreakBefore w:val="0"/>
              <w:widowControl/>
              <w:kinsoku w:val="0"/>
              <w:wordWrap/>
              <w:overflowPunct/>
              <w:topLinePunct w:val="0"/>
              <w:autoSpaceDE w:val="0"/>
              <w:autoSpaceDN w:val="0"/>
              <w:bidi w:val="0"/>
              <w:adjustRightInd w:val="0"/>
              <w:snapToGrid w:val="0"/>
              <w:spacing w:before="201" w:line="240" w:lineRule="auto"/>
              <w:ind w:left="543" w:firstLine="0" w:firstLineChars="0"/>
              <w:jc w:val="left"/>
              <w:textAlignment w:val="baseline"/>
              <w:rPr>
                <w:rFonts w:ascii="Times New Roman" w:hAnsi="Times New Roman" w:eastAsia="Times New Roman" w:cs="Times New Roman"/>
                <w:snapToGrid w:val="0"/>
                <w:color w:val="000000"/>
                <w:kern w:val="0"/>
                <w:sz w:val="22"/>
                <w:szCs w:val="22"/>
                <w:lang w:eastAsia="en-US"/>
              </w:rPr>
            </w:pPr>
            <w:r>
              <w:rPr>
                <w:rFonts w:ascii="Times New Roman" w:hAnsi="Times New Roman" w:eastAsia="Times New Roman" w:cs="Times New Roman"/>
                <w:i/>
                <w:iCs/>
                <w:snapToGrid w:val="0"/>
                <w:color w:val="000000"/>
                <w:kern w:val="0"/>
                <w:sz w:val="22"/>
                <w:szCs w:val="22"/>
                <w:lang w:eastAsia="en-US"/>
              </w:rPr>
              <w:t>q</w:t>
            </w:r>
          </w:p>
          <w:p w14:paraId="6EF428D4">
            <w:pPr>
              <w:keepNext w:val="0"/>
              <w:keepLines w:val="0"/>
              <w:pageBreakBefore w:val="0"/>
              <w:widowControl/>
              <w:kinsoku w:val="0"/>
              <w:wordWrap/>
              <w:overflowPunct/>
              <w:topLinePunct w:val="0"/>
              <w:autoSpaceDE w:val="0"/>
              <w:autoSpaceDN w:val="0"/>
              <w:bidi w:val="0"/>
              <w:adjustRightInd w:val="0"/>
              <w:snapToGrid w:val="0"/>
              <w:spacing w:before="114" w:line="240" w:lineRule="auto"/>
              <w:ind w:left="39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
                <w:kern w:val="0"/>
                <w:sz w:val="24"/>
                <w:szCs w:val="24"/>
                <w:lang w:val="en-US" w:eastAsia="en-US" w:bidi="ar-SA"/>
              </w:rPr>
              <w:t>m</w:t>
            </w:r>
            <w:r>
              <w:rPr>
                <w:rFonts w:ascii="仿宋" w:hAnsi="仿宋" w:eastAsia="仿宋" w:cs="仿宋"/>
                <w:snapToGrid w:val="0"/>
                <w:color w:val="000000"/>
                <w:spacing w:val="1"/>
                <w:kern w:val="0"/>
                <w:position w:val="11"/>
                <w:sz w:val="12"/>
                <w:szCs w:val="12"/>
                <w:lang w:val="en-US" w:eastAsia="en-US" w:bidi="ar-SA"/>
              </w:rPr>
              <w:t>3</w:t>
            </w:r>
            <w:r>
              <w:rPr>
                <w:rFonts w:ascii="仿宋" w:hAnsi="仿宋" w:eastAsia="仿宋" w:cs="仿宋"/>
                <w:snapToGrid w:val="0"/>
                <w:color w:val="000000"/>
                <w:spacing w:val="1"/>
                <w:kern w:val="0"/>
                <w:sz w:val="24"/>
                <w:szCs w:val="24"/>
                <w:lang w:val="en-US" w:eastAsia="en-US" w:bidi="ar-SA"/>
              </w:rPr>
              <w:t>/s</w:t>
            </w:r>
          </w:p>
        </w:tc>
        <w:tc>
          <w:tcPr>
            <w:tcW w:w="1269" w:type="dxa"/>
            <w:vAlign w:val="top"/>
          </w:tcPr>
          <w:p w14:paraId="236D1187">
            <w:pPr>
              <w:keepNext w:val="0"/>
              <w:keepLines w:val="0"/>
              <w:pageBreakBefore w:val="0"/>
              <w:widowControl/>
              <w:kinsoku w:val="0"/>
              <w:wordWrap/>
              <w:overflowPunct/>
              <w:topLinePunct w:val="0"/>
              <w:autoSpaceDE w:val="0"/>
              <w:autoSpaceDN w:val="0"/>
              <w:bidi w:val="0"/>
              <w:adjustRightInd w:val="0"/>
              <w:snapToGrid w:val="0"/>
              <w:spacing w:before="89" w:line="240" w:lineRule="auto"/>
              <w:ind w:left="182" w:firstLine="0" w:firstLineChars="0"/>
              <w:jc w:val="left"/>
              <w:textAlignment w:val="baseline"/>
              <w:rPr>
                <w:rFonts w:ascii="Times New Roman" w:hAnsi="Times New Roman" w:eastAsia="Times New Roman" w:cs="Times New Roman"/>
                <w:snapToGrid w:val="0"/>
                <w:color w:val="000000"/>
                <w:kern w:val="0"/>
                <w:sz w:val="22"/>
                <w:szCs w:val="22"/>
                <w:lang w:eastAsia="en-US"/>
              </w:rPr>
            </w:pPr>
            <w:r>
              <w:rPr>
                <w:rFonts w:ascii="Times New Roman" w:hAnsi="Times New Roman" w:eastAsia="Times New Roman" w:cs="Times New Roman"/>
                <w:i/>
                <w:iCs/>
                <w:snapToGrid w:val="0"/>
                <w:color w:val="000000"/>
                <w:spacing w:val="1"/>
                <w:kern w:val="0"/>
                <w:sz w:val="22"/>
                <w:szCs w:val="22"/>
                <w:lang w:eastAsia="en-US"/>
              </w:rPr>
              <w:t>V</w:t>
            </w:r>
            <w:r>
              <w:rPr>
                <w:rFonts w:ascii="Times New Roman" w:hAnsi="Times New Roman" w:eastAsia="Times New Roman" w:cs="Times New Roman"/>
                <w:i/>
                <w:iCs/>
                <w:snapToGrid w:val="0"/>
                <w:color w:val="000000"/>
                <w:spacing w:val="6"/>
                <w:kern w:val="0"/>
                <w:sz w:val="22"/>
                <w:szCs w:val="22"/>
                <w:lang w:eastAsia="en-US"/>
              </w:rPr>
              <w:t xml:space="preserve"> </w:t>
            </w:r>
            <w:r>
              <w:rPr>
                <w:rFonts w:ascii="Arial" w:hAnsi="Arial" w:eastAsia="Arial" w:cs="Arial"/>
                <w:snapToGrid w:val="0"/>
                <w:color w:val="000000"/>
                <w:spacing w:val="1"/>
                <w:kern w:val="0"/>
                <w:sz w:val="22"/>
                <w:szCs w:val="22"/>
                <w:lang w:eastAsia="en-US"/>
              </w:rPr>
              <w:t>−</w:t>
            </w:r>
            <w:r>
              <w:rPr>
                <w:rFonts w:ascii="Arial" w:hAnsi="Arial" w:eastAsia="Arial" w:cs="Arial"/>
                <w:snapToGrid w:val="0"/>
                <w:color w:val="000000"/>
                <w:spacing w:val="-10"/>
                <w:kern w:val="0"/>
                <w:sz w:val="22"/>
                <w:szCs w:val="22"/>
                <w:lang w:eastAsia="en-US"/>
              </w:rPr>
              <w:t xml:space="preserve"> </w:t>
            </w:r>
            <w:r>
              <w:rPr>
                <w:rFonts w:ascii="Arial" w:hAnsi="Arial" w:eastAsia="Arial" w:cs="Arial"/>
                <w:snapToGrid w:val="0"/>
                <w:color w:val="000000"/>
                <w:kern w:val="0"/>
                <w:position w:val="-18"/>
                <w:sz w:val="22"/>
                <w:szCs w:val="22"/>
                <w:lang w:eastAsia="en-US"/>
              </w:rPr>
              <w:drawing>
                <wp:inline distT="0" distB="0" distL="0" distR="0">
                  <wp:extent cx="90170" cy="308610"/>
                  <wp:effectExtent l="0" t="0" r="1270" b="1143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30"/>
                          <a:stretch>
                            <a:fillRect/>
                          </a:stretch>
                        </pic:blipFill>
                        <pic:spPr>
                          <a:xfrm>
                            <a:off x="0" y="0"/>
                            <a:ext cx="90227" cy="309074"/>
                          </a:xfrm>
                          <a:prstGeom prst="rect">
                            <a:avLst/>
                          </a:prstGeom>
                        </pic:spPr>
                      </pic:pic>
                    </a:graphicData>
                  </a:graphic>
                </wp:inline>
              </w:drawing>
            </w:r>
            <w:r>
              <w:rPr>
                <w:rFonts w:ascii="Arial" w:hAnsi="Arial" w:eastAsia="Arial" w:cs="Arial"/>
                <w:snapToGrid w:val="0"/>
                <w:color w:val="000000"/>
                <w:spacing w:val="-15"/>
                <w:kern w:val="0"/>
                <w:sz w:val="22"/>
                <w:szCs w:val="22"/>
                <w:lang w:eastAsia="en-US"/>
              </w:rPr>
              <w:t xml:space="preserve"> </w:t>
            </w:r>
            <w:r>
              <w:rPr>
                <w:rFonts w:ascii="Times New Roman" w:hAnsi="Times New Roman" w:eastAsia="Times New Roman" w:cs="Times New Roman"/>
                <w:i/>
                <w:iCs/>
                <w:snapToGrid w:val="0"/>
                <w:color w:val="000000"/>
                <w:spacing w:val="1"/>
                <w:kern w:val="0"/>
                <w:sz w:val="22"/>
                <w:szCs w:val="22"/>
                <w:lang w:eastAsia="en-US"/>
              </w:rPr>
              <w:t>q</w:t>
            </w:r>
            <w:r>
              <w:rPr>
                <w:rFonts w:ascii="Arial" w:hAnsi="Arial" w:eastAsia="Arial" w:cs="Arial"/>
                <w:snapToGrid w:val="0"/>
                <w:color w:val="000000"/>
                <w:spacing w:val="1"/>
                <w:kern w:val="0"/>
                <w:sz w:val="22"/>
                <w:szCs w:val="22"/>
                <w:lang w:eastAsia="en-US"/>
              </w:rPr>
              <w:t>Δ</w:t>
            </w:r>
            <w:r>
              <w:rPr>
                <w:rFonts w:ascii="Times New Roman" w:hAnsi="Times New Roman" w:eastAsia="Times New Roman" w:cs="Times New Roman"/>
                <w:i/>
                <w:iCs/>
                <w:snapToGrid w:val="0"/>
                <w:color w:val="000000"/>
                <w:spacing w:val="1"/>
                <w:kern w:val="0"/>
                <w:sz w:val="22"/>
                <w:szCs w:val="22"/>
                <w:lang w:eastAsia="en-US"/>
              </w:rPr>
              <w:t>t</w:t>
            </w:r>
          </w:p>
          <w:p w14:paraId="10F84142">
            <w:pPr>
              <w:keepNext w:val="0"/>
              <w:keepLines w:val="0"/>
              <w:pageBreakBefore w:val="0"/>
              <w:widowControl/>
              <w:kinsoku w:val="0"/>
              <w:wordWrap/>
              <w:overflowPunct/>
              <w:topLinePunct w:val="0"/>
              <w:autoSpaceDE w:val="0"/>
              <w:autoSpaceDN w:val="0"/>
              <w:bidi w:val="0"/>
              <w:adjustRightInd w:val="0"/>
              <w:snapToGrid w:val="0"/>
              <w:spacing w:before="100" w:line="240" w:lineRule="auto"/>
              <w:ind w:left="543" w:firstLine="0" w:firstLineChars="0"/>
              <w:jc w:val="left"/>
              <w:textAlignment w:val="baseline"/>
              <w:rPr>
                <w:rFonts w:ascii="仿宋" w:hAnsi="仿宋" w:eastAsia="仿宋" w:cs="仿宋"/>
                <w:snapToGrid w:val="0"/>
                <w:color w:val="000000"/>
                <w:kern w:val="0"/>
                <w:sz w:val="12"/>
                <w:szCs w:val="12"/>
                <w:lang w:val="en-US" w:eastAsia="en-US" w:bidi="ar-SA"/>
              </w:rPr>
            </w:pPr>
            <w:r>
              <w:rPr>
                <w:rFonts w:ascii="仿宋" w:hAnsi="仿宋" w:eastAsia="仿宋" w:cs="仿宋"/>
                <w:snapToGrid w:val="0"/>
                <w:color w:val="000000"/>
                <w:spacing w:val="-2"/>
                <w:kern w:val="0"/>
                <w:position w:val="-1"/>
                <w:sz w:val="24"/>
                <w:szCs w:val="24"/>
                <w:lang w:val="en-US" w:eastAsia="en-US" w:bidi="ar-SA"/>
              </w:rPr>
              <w:t>m</w:t>
            </w:r>
            <w:r>
              <w:rPr>
                <w:rFonts w:ascii="仿宋" w:hAnsi="仿宋" w:eastAsia="仿宋" w:cs="仿宋"/>
                <w:snapToGrid w:val="0"/>
                <w:color w:val="000000"/>
                <w:spacing w:val="-2"/>
                <w:kern w:val="0"/>
                <w:position w:val="10"/>
                <w:sz w:val="12"/>
                <w:szCs w:val="12"/>
                <w:lang w:val="en-US" w:eastAsia="en-US" w:bidi="ar-SA"/>
              </w:rPr>
              <w:t>3</w:t>
            </w:r>
          </w:p>
        </w:tc>
      </w:tr>
      <w:tr w14:paraId="35ED3B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Align w:val="top"/>
          </w:tcPr>
          <w:p w14:paraId="0C44CF9F">
            <w:pPr>
              <w:keepNext w:val="0"/>
              <w:keepLines w:val="0"/>
              <w:pageBreakBefore w:val="0"/>
              <w:widowControl/>
              <w:kinsoku w:val="0"/>
              <w:wordWrap/>
              <w:overflowPunct/>
              <w:topLinePunct w:val="0"/>
              <w:autoSpaceDE w:val="0"/>
              <w:autoSpaceDN w:val="0"/>
              <w:bidi w:val="0"/>
              <w:adjustRightInd w:val="0"/>
              <w:snapToGrid w:val="0"/>
              <w:spacing w:before="75" w:line="240" w:lineRule="auto"/>
              <w:ind w:left="3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0.00</w:t>
            </w:r>
          </w:p>
        </w:tc>
        <w:tc>
          <w:tcPr>
            <w:tcW w:w="1176" w:type="dxa"/>
            <w:vAlign w:val="top"/>
          </w:tcPr>
          <w:p w14:paraId="5B305FA0">
            <w:pPr>
              <w:keepNext w:val="0"/>
              <w:keepLines w:val="0"/>
              <w:pageBreakBefore w:val="0"/>
              <w:widowControl/>
              <w:kinsoku w:val="0"/>
              <w:wordWrap/>
              <w:overflowPunct/>
              <w:topLinePunct w:val="0"/>
              <w:autoSpaceDE w:val="0"/>
              <w:autoSpaceDN w:val="0"/>
              <w:bidi w:val="0"/>
              <w:adjustRightInd w:val="0"/>
              <w:snapToGrid w:val="0"/>
              <w:spacing w:before="75" w:line="240" w:lineRule="auto"/>
              <w:ind w:left="3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0.00</w:t>
            </w:r>
          </w:p>
        </w:tc>
        <w:tc>
          <w:tcPr>
            <w:tcW w:w="1201" w:type="dxa"/>
            <w:vMerge w:val="restart"/>
            <w:tcBorders>
              <w:bottom w:val="nil"/>
            </w:tcBorders>
            <w:vAlign w:val="top"/>
          </w:tcPr>
          <w:p w14:paraId="1DE9881C">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0.389</w:t>
            </w:r>
          </w:p>
        </w:tc>
        <w:tc>
          <w:tcPr>
            <w:tcW w:w="1176" w:type="dxa"/>
            <w:vMerge w:val="restart"/>
            <w:tcBorders>
              <w:bottom w:val="nil"/>
            </w:tcBorders>
            <w:vAlign w:val="top"/>
          </w:tcPr>
          <w:p w14:paraId="5543DC52">
            <w:pPr>
              <w:keepNext w:val="0"/>
              <w:keepLines w:val="0"/>
              <w:pageBreakBefore w:val="0"/>
              <w:widowControl/>
              <w:kinsoku w:val="0"/>
              <w:wordWrap/>
              <w:overflowPunct/>
              <w:topLinePunct w:val="0"/>
              <w:autoSpaceDE w:val="0"/>
              <w:autoSpaceDN w:val="0"/>
              <w:bidi w:val="0"/>
              <w:adjustRightInd w:val="0"/>
              <w:snapToGrid w:val="0"/>
              <w:spacing w:before="238" w:line="240" w:lineRule="auto"/>
              <w:ind w:left="55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0</w:t>
            </w:r>
          </w:p>
        </w:tc>
        <w:tc>
          <w:tcPr>
            <w:tcW w:w="1264" w:type="dxa"/>
            <w:vMerge w:val="restart"/>
            <w:tcBorders>
              <w:bottom w:val="nil"/>
            </w:tcBorders>
            <w:vAlign w:val="top"/>
          </w:tcPr>
          <w:p w14:paraId="271E5BF0">
            <w:pPr>
              <w:keepNext w:val="0"/>
              <w:keepLines w:val="0"/>
              <w:pageBreakBefore w:val="0"/>
              <w:widowControl/>
              <w:kinsoku w:val="0"/>
              <w:wordWrap/>
              <w:overflowPunct/>
              <w:topLinePunct w:val="0"/>
              <w:autoSpaceDE w:val="0"/>
              <w:autoSpaceDN w:val="0"/>
              <w:bidi w:val="0"/>
              <w:adjustRightInd w:val="0"/>
              <w:snapToGrid w:val="0"/>
              <w:spacing w:before="238" w:line="240" w:lineRule="auto"/>
              <w:ind w:left="59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0</w:t>
            </w:r>
          </w:p>
        </w:tc>
        <w:tc>
          <w:tcPr>
            <w:tcW w:w="1204" w:type="dxa"/>
            <w:vMerge w:val="restart"/>
            <w:tcBorders>
              <w:bottom w:val="nil"/>
            </w:tcBorders>
            <w:vAlign w:val="top"/>
          </w:tcPr>
          <w:p w14:paraId="4C40C2F8">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2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0.000</w:t>
            </w:r>
          </w:p>
        </w:tc>
        <w:tc>
          <w:tcPr>
            <w:tcW w:w="1269" w:type="dxa"/>
            <w:vMerge w:val="restart"/>
            <w:tcBorders>
              <w:bottom w:val="nil"/>
            </w:tcBorders>
            <w:vAlign w:val="top"/>
          </w:tcPr>
          <w:p w14:paraId="6371D69D">
            <w:pPr>
              <w:keepNext w:val="0"/>
              <w:keepLines w:val="0"/>
              <w:pageBreakBefore w:val="0"/>
              <w:widowControl/>
              <w:kinsoku w:val="0"/>
              <w:wordWrap/>
              <w:overflowPunct/>
              <w:topLinePunct w:val="0"/>
              <w:autoSpaceDE w:val="0"/>
              <w:autoSpaceDN w:val="0"/>
              <w:bidi w:val="0"/>
              <w:adjustRightInd w:val="0"/>
              <w:snapToGrid w:val="0"/>
              <w:spacing w:before="238" w:line="240" w:lineRule="auto"/>
              <w:ind w:left="59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0</w:t>
            </w:r>
          </w:p>
        </w:tc>
      </w:tr>
      <w:tr w14:paraId="39BFF4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1125" w:type="dxa"/>
            <w:vMerge w:val="restart"/>
            <w:tcBorders>
              <w:bottom w:val="nil"/>
            </w:tcBorders>
            <w:vAlign w:val="top"/>
          </w:tcPr>
          <w:p w14:paraId="5AA36914">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0.40</w:t>
            </w:r>
          </w:p>
        </w:tc>
        <w:tc>
          <w:tcPr>
            <w:tcW w:w="1176" w:type="dxa"/>
            <w:vMerge w:val="restart"/>
            <w:tcBorders>
              <w:bottom w:val="nil"/>
            </w:tcBorders>
            <w:vAlign w:val="top"/>
          </w:tcPr>
          <w:p w14:paraId="46BDB9F9">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0.78</w:t>
            </w:r>
          </w:p>
        </w:tc>
        <w:tc>
          <w:tcPr>
            <w:tcW w:w="1201" w:type="dxa"/>
            <w:vMerge w:val="continue"/>
            <w:tcBorders>
              <w:top w:val="nil"/>
            </w:tcBorders>
            <w:vAlign w:val="top"/>
          </w:tcPr>
          <w:p w14:paraId="3B7501B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5600FEC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6FDC22D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7AD0E89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78598D9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47D1F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continue"/>
            <w:tcBorders>
              <w:top w:val="nil"/>
            </w:tcBorders>
            <w:vAlign w:val="top"/>
          </w:tcPr>
          <w:p w14:paraId="3CDD5C2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3D12C3F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0D52DD2A">
            <w:pPr>
              <w:keepNext w:val="0"/>
              <w:keepLines w:val="0"/>
              <w:pageBreakBefore w:val="0"/>
              <w:widowControl/>
              <w:kinsoku w:val="0"/>
              <w:wordWrap/>
              <w:overflowPunct/>
              <w:topLinePunct w:val="0"/>
              <w:autoSpaceDE w:val="0"/>
              <w:autoSpaceDN w:val="0"/>
              <w:bidi w:val="0"/>
              <w:adjustRightInd w:val="0"/>
              <w:snapToGrid w:val="0"/>
              <w:spacing w:before="235" w:line="240" w:lineRule="auto"/>
              <w:ind w:left="32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1.166</w:t>
            </w:r>
          </w:p>
        </w:tc>
        <w:tc>
          <w:tcPr>
            <w:tcW w:w="1176" w:type="dxa"/>
            <w:vMerge w:val="restart"/>
            <w:tcBorders>
              <w:bottom w:val="nil"/>
            </w:tcBorders>
            <w:vAlign w:val="top"/>
          </w:tcPr>
          <w:p w14:paraId="154943B5">
            <w:pPr>
              <w:keepNext w:val="0"/>
              <w:keepLines w:val="0"/>
              <w:pageBreakBefore w:val="0"/>
              <w:widowControl/>
              <w:kinsoku w:val="0"/>
              <w:wordWrap/>
              <w:overflowPunct/>
              <w:topLinePunct w:val="0"/>
              <w:autoSpaceDE w:val="0"/>
              <w:autoSpaceDN w:val="0"/>
              <w:bidi w:val="0"/>
              <w:adjustRightInd w:val="0"/>
              <w:snapToGrid w:val="0"/>
              <w:spacing w:before="235" w:line="240" w:lineRule="auto"/>
              <w:ind w:left="42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560</w:t>
            </w:r>
          </w:p>
        </w:tc>
        <w:tc>
          <w:tcPr>
            <w:tcW w:w="1264" w:type="dxa"/>
            <w:vMerge w:val="restart"/>
            <w:tcBorders>
              <w:bottom w:val="nil"/>
            </w:tcBorders>
            <w:vAlign w:val="top"/>
          </w:tcPr>
          <w:p w14:paraId="58DD7142">
            <w:pPr>
              <w:keepNext w:val="0"/>
              <w:keepLines w:val="0"/>
              <w:pageBreakBefore w:val="0"/>
              <w:widowControl/>
              <w:kinsoku w:val="0"/>
              <w:wordWrap/>
              <w:overflowPunct/>
              <w:topLinePunct w:val="0"/>
              <w:autoSpaceDE w:val="0"/>
              <w:autoSpaceDN w:val="0"/>
              <w:bidi w:val="0"/>
              <w:adjustRightInd w:val="0"/>
              <w:snapToGrid w:val="0"/>
              <w:spacing w:before="235" w:line="240" w:lineRule="auto"/>
              <w:ind w:left="47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560</w:t>
            </w:r>
          </w:p>
        </w:tc>
        <w:tc>
          <w:tcPr>
            <w:tcW w:w="1204" w:type="dxa"/>
            <w:vMerge w:val="restart"/>
            <w:tcBorders>
              <w:bottom w:val="nil"/>
            </w:tcBorders>
            <w:vAlign w:val="top"/>
          </w:tcPr>
          <w:p w14:paraId="50650D8E">
            <w:pPr>
              <w:keepNext w:val="0"/>
              <w:keepLines w:val="0"/>
              <w:pageBreakBefore w:val="0"/>
              <w:widowControl/>
              <w:kinsoku w:val="0"/>
              <w:wordWrap/>
              <w:overflowPunct/>
              <w:topLinePunct w:val="0"/>
              <w:autoSpaceDE w:val="0"/>
              <w:autoSpaceDN w:val="0"/>
              <w:bidi w:val="0"/>
              <w:adjustRightInd w:val="0"/>
              <w:snapToGrid w:val="0"/>
              <w:spacing w:before="235" w:line="240" w:lineRule="auto"/>
              <w:ind w:left="32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0.410</w:t>
            </w:r>
          </w:p>
        </w:tc>
        <w:tc>
          <w:tcPr>
            <w:tcW w:w="1269" w:type="dxa"/>
            <w:vMerge w:val="restart"/>
            <w:tcBorders>
              <w:bottom w:val="nil"/>
            </w:tcBorders>
            <w:vAlign w:val="top"/>
          </w:tcPr>
          <w:p w14:paraId="160FD76B">
            <w:pPr>
              <w:keepNext w:val="0"/>
              <w:keepLines w:val="0"/>
              <w:pageBreakBefore w:val="0"/>
              <w:widowControl/>
              <w:kinsoku w:val="0"/>
              <w:wordWrap/>
              <w:overflowPunct/>
              <w:topLinePunct w:val="0"/>
              <w:autoSpaceDE w:val="0"/>
              <w:autoSpaceDN w:val="0"/>
              <w:bidi w:val="0"/>
              <w:adjustRightInd w:val="0"/>
              <w:snapToGrid w:val="0"/>
              <w:spacing w:before="235" w:line="240" w:lineRule="auto"/>
              <w:ind w:left="45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-31</w:t>
            </w:r>
          </w:p>
        </w:tc>
      </w:tr>
      <w:tr w14:paraId="45DE45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5A9E3B1A">
            <w:pPr>
              <w:keepNext w:val="0"/>
              <w:keepLines w:val="0"/>
              <w:pageBreakBefore w:val="0"/>
              <w:widowControl/>
              <w:kinsoku w:val="0"/>
              <w:wordWrap/>
              <w:overflowPunct/>
              <w:topLinePunct w:val="0"/>
              <w:autoSpaceDE w:val="0"/>
              <w:autoSpaceDN w:val="0"/>
              <w:bidi w:val="0"/>
              <w:adjustRightInd w:val="0"/>
              <w:snapToGrid w:val="0"/>
              <w:spacing w:before="235" w:line="240" w:lineRule="auto"/>
              <w:ind w:left="34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0.80</w:t>
            </w:r>
          </w:p>
        </w:tc>
        <w:tc>
          <w:tcPr>
            <w:tcW w:w="1176" w:type="dxa"/>
            <w:vMerge w:val="restart"/>
            <w:tcBorders>
              <w:bottom w:val="nil"/>
            </w:tcBorders>
            <w:vAlign w:val="top"/>
          </w:tcPr>
          <w:p w14:paraId="507AC140">
            <w:pPr>
              <w:keepNext w:val="0"/>
              <w:keepLines w:val="0"/>
              <w:pageBreakBefore w:val="0"/>
              <w:widowControl/>
              <w:kinsoku w:val="0"/>
              <w:wordWrap/>
              <w:overflowPunct/>
              <w:topLinePunct w:val="0"/>
              <w:autoSpaceDE w:val="0"/>
              <w:autoSpaceDN w:val="0"/>
              <w:bidi w:val="0"/>
              <w:adjustRightInd w:val="0"/>
              <w:snapToGrid w:val="0"/>
              <w:spacing w:before="235" w:line="240" w:lineRule="auto"/>
              <w:ind w:left="3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1.55</w:t>
            </w:r>
          </w:p>
        </w:tc>
        <w:tc>
          <w:tcPr>
            <w:tcW w:w="1201" w:type="dxa"/>
            <w:vMerge w:val="continue"/>
            <w:tcBorders>
              <w:top w:val="nil"/>
            </w:tcBorders>
            <w:vAlign w:val="top"/>
          </w:tcPr>
          <w:p w14:paraId="53B75E8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5D89430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352AAAA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0FAE350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5209CFC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148FE4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7E400CC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1F084EF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3BDEE441">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1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2.400</w:t>
            </w:r>
          </w:p>
        </w:tc>
        <w:tc>
          <w:tcPr>
            <w:tcW w:w="1176" w:type="dxa"/>
            <w:vMerge w:val="restart"/>
            <w:tcBorders>
              <w:bottom w:val="nil"/>
            </w:tcBorders>
            <w:vAlign w:val="top"/>
          </w:tcPr>
          <w:p w14:paraId="669C6D1A">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7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1679</w:t>
            </w:r>
          </w:p>
        </w:tc>
        <w:tc>
          <w:tcPr>
            <w:tcW w:w="1264" w:type="dxa"/>
            <w:vMerge w:val="restart"/>
            <w:tcBorders>
              <w:bottom w:val="nil"/>
            </w:tcBorders>
            <w:vAlign w:val="top"/>
          </w:tcPr>
          <w:p w14:paraId="447EEC7B">
            <w:pPr>
              <w:keepNext w:val="0"/>
              <w:keepLines w:val="0"/>
              <w:pageBreakBefore w:val="0"/>
              <w:widowControl/>
              <w:kinsoku w:val="0"/>
              <w:wordWrap/>
              <w:overflowPunct/>
              <w:topLinePunct w:val="0"/>
              <w:autoSpaceDE w:val="0"/>
              <w:autoSpaceDN w:val="0"/>
              <w:bidi w:val="0"/>
              <w:adjustRightInd w:val="0"/>
              <w:snapToGrid w:val="0"/>
              <w:spacing w:before="238" w:line="240" w:lineRule="auto"/>
              <w:ind w:left="41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1649</w:t>
            </w:r>
          </w:p>
        </w:tc>
        <w:tc>
          <w:tcPr>
            <w:tcW w:w="1204" w:type="dxa"/>
            <w:vMerge w:val="restart"/>
            <w:tcBorders>
              <w:bottom w:val="nil"/>
            </w:tcBorders>
            <w:vAlign w:val="top"/>
          </w:tcPr>
          <w:p w14:paraId="742E9045">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2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1.505</w:t>
            </w:r>
          </w:p>
        </w:tc>
        <w:tc>
          <w:tcPr>
            <w:tcW w:w="1269" w:type="dxa"/>
            <w:vMerge w:val="restart"/>
            <w:tcBorders>
              <w:bottom w:val="nil"/>
            </w:tcBorders>
            <w:vAlign w:val="top"/>
          </w:tcPr>
          <w:p w14:paraId="69E2F8EA">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9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en-US" w:bidi="ar-SA"/>
              </w:rPr>
              <w:t>-519</w:t>
            </w:r>
          </w:p>
        </w:tc>
      </w:tr>
      <w:tr w14:paraId="1F29E9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5608AB18">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4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1.20</w:t>
            </w:r>
          </w:p>
        </w:tc>
        <w:tc>
          <w:tcPr>
            <w:tcW w:w="1176" w:type="dxa"/>
            <w:vMerge w:val="restart"/>
            <w:tcBorders>
              <w:bottom w:val="nil"/>
            </w:tcBorders>
            <w:vAlign w:val="top"/>
          </w:tcPr>
          <w:p w14:paraId="0A6BA715">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6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3.24</w:t>
            </w:r>
          </w:p>
        </w:tc>
        <w:tc>
          <w:tcPr>
            <w:tcW w:w="1201" w:type="dxa"/>
            <w:vMerge w:val="continue"/>
            <w:tcBorders>
              <w:top w:val="nil"/>
            </w:tcBorders>
            <w:vAlign w:val="top"/>
          </w:tcPr>
          <w:p w14:paraId="12FA7AA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47F4B00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593C10F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16B1B70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5CCF193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3C8814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1125" w:type="dxa"/>
            <w:vMerge w:val="continue"/>
            <w:tcBorders>
              <w:top w:val="nil"/>
            </w:tcBorders>
            <w:vAlign w:val="top"/>
          </w:tcPr>
          <w:p w14:paraId="2F6F140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352973C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6E43497A">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5.577</w:t>
            </w:r>
          </w:p>
        </w:tc>
        <w:tc>
          <w:tcPr>
            <w:tcW w:w="1176" w:type="dxa"/>
            <w:vMerge w:val="restart"/>
            <w:tcBorders>
              <w:bottom w:val="nil"/>
            </w:tcBorders>
            <w:vAlign w:val="top"/>
          </w:tcPr>
          <w:p w14:paraId="631D3444">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7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3456</w:t>
            </w:r>
          </w:p>
        </w:tc>
        <w:tc>
          <w:tcPr>
            <w:tcW w:w="1264" w:type="dxa"/>
            <w:vMerge w:val="restart"/>
            <w:tcBorders>
              <w:bottom w:val="nil"/>
            </w:tcBorders>
            <w:vAlign w:val="top"/>
          </w:tcPr>
          <w:p w14:paraId="6E89703E">
            <w:pPr>
              <w:keepNext w:val="0"/>
              <w:keepLines w:val="0"/>
              <w:pageBreakBefore w:val="0"/>
              <w:widowControl/>
              <w:kinsoku w:val="0"/>
              <w:wordWrap/>
              <w:overflowPunct/>
              <w:topLinePunct w:val="0"/>
              <w:autoSpaceDE w:val="0"/>
              <w:autoSpaceDN w:val="0"/>
              <w:bidi w:val="0"/>
              <w:adjustRightInd w:val="0"/>
              <w:snapToGrid w:val="0"/>
              <w:spacing w:before="237" w:line="240" w:lineRule="auto"/>
              <w:ind w:left="40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2937</w:t>
            </w:r>
          </w:p>
        </w:tc>
        <w:tc>
          <w:tcPr>
            <w:tcW w:w="1204" w:type="dxa"/>
            <w:vMerge w:val="restart"/>
            <w:tcBorders>
              <w:bottom w:val="nil"/>
            </w:tcBorders>
            <w:vAlign w:val="top"/>
          </w:tcPr>
          <w:p w14:paraId="5E80BA75">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2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1.858</w:t>
            </w:r>
          </w:p>
        </w:tc>
        <w:tc>
          <w:tcPr>
            <w:tcW w:w="1269" w:type="dxa"/>
            <w:vMerge w:val="restart"/>
            <w:tcBorders>
              <w:bottom w:val="nil"/>
            </w:tcBorders>
            <w:vAlign w:val="top"/>
          </w:tcPr>
          <w:p w14:paraId="5FF0951F">
            <w:pPr>
              <w:keepNext w:val="0"/>
              <w:keepLines w:val="0"/>
              <w:pageBreakBefore w:val="0"/>
              <w:widowControl/>
              <w:kinsoku w:val="0"/>
              <w:wordWrap/>
              <w:overflowPunct/>
              <w:topLinePunct w:val="0"/>
              <w:autoSpaceDE w:val="0"/>
              <w:autoSpaceDN w:val="0"/>
              <w:bidi w:val="0"/>
              <w:adjustRightInd w:val="0"/>
              <w:snapToGrid w:val="0"/>
              <w:spacing w:before="237" w:line="240" w:lineRule="auto"/>
              <w:ind w:left="4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262</w:t>
            </w:r>
          </w:p>
        </w:tc>
      </w:tr>
      <w:tr w14:paraId="529E9C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1125" w:type="dxa"/>
            <w:vMerge w:val="restart"/>
            <w:tcBorders>
              <w:bottom w:val="nil"/>
            </w:tcBorders>
            <w:vAlign w:val="top"/>
          </w:tcPr>
          <w:p w14:paraId="65FB72D1">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4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1.60</w:t>
            </w:r>
          </w:p>
        </w:tc>
        <w:tc>
          <w:tcPr>
            <w:tcW w:w="1176" w:type="dxa"/>
            <w:vMerge w:val="restart"/>
            <w:tcBorders>
              <w:bottom w:val="nil"/>
            </w:tcBorders>
            <w:vAlign w:val="top"/>
          </w:tcPr>
          <w:p w14:paraId="4BA9CB16">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6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7.91</w:t>
            </w:r>
          </w:p>
        </w:tc>
        <w:tc>
          <w:tcPr>
            <w:tcW w:w="1201" w:type="dxa"/>
            <w:vMerge w:val="continue"/>
            <w:tcBorders>
              <w:top w:val="nil"/>
            </w:tcBorders>
            <w:vAlign w:val="top"/>
          </w:tcPr>
          <w:p w14:paraId="322FF8F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07856AE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097C3FB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77AA572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1533674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1974B8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0CF7D72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4ABEAF9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01171FEE">
            <w:pPr>
              <w:keepNext w:val="0"/>
              <w:keepLines w:val="0"/>
              <w:pageBreakBefore w:val="0"/>
              <w:widowControl/>
              <w:kinsoku w:val="0"/>
              <w:wordWrap/>
              <w:overflowPunct/>
              <w:topLinePunct w:val="0"/>
              <w:autoSpaceDE w:val="0"/>
              <w:autoSpaceDN w:val="0"/>
              <w:bidi w:val="0"/>
              <w:adjustRightInd w:val="0"/>
              <w:snapToGrid w:val="0"/>
              <w:spacing w:before="239" w:line="240" w:lineRule="auto"/>
              <w:ind w:left="26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10.242</w:t>
            </w:r>
          </w:p>
        </w:tc>
        <w:tc>
          <w:tcPr>
            <w:tcW w:w="1176" w:type="dxa"/>
            <w:vMerge w:val="restart"/>
            <w:tcBorders>
              <w:bottom w:val="nil"/>
            </w:tcBorders>
            <w:vAlign w:val="top"/>
          </w:tcPr>
          <w:p w14:paraId="4C90F242">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6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8032</w:t>
            </w:r>
          </w:p>
        </w:tc>
        <w:tc>
          <w:tcPr>
            <w:tcW w:w="1264" w:type="dxa"/>
            <w:vMerge w:val="restart"/>
            <w:tcBorders>
              <w:bottom w:val="nil"/>
            </w:tcBorders>
            <w:vAlign w:val="top"/>
          </w:tcPr>
          <w:p w14:paraId="02AD412E">
            <w:pPr>
              <w:keepNext w:val="0"/>
              <w:keepLines w:val="0"/>
              <w:pageBreakBefore w:val="0"/>
              <w:widowControl/>
              <w:kinsoku w:val="0"/>
              <w:wordWrap/>
              <w:overflowPunct/>
              <w:topLinePunct w:val="0"/>
              <w:autoSpaceDE w:val="0"/>
              <w:autoSpaceDN w:val="0"/>
              <w:bidi w:val="0"/>
              <w:adjustRightInd w:val="0"/>
              <w:snapToGrid w:val="0"/>
              <w:spacing w:before="239"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8293</w:t>
            </w:r>
          </w:p>
        </w:tc>
        <w:tc>
          <w:tcPr>
            <w:tcW w:w="1204" w:type="dxa"/>
            <w:vMerge w:val="restart"/>
            <w:tcBorders>
              <w:bottom w:val="nil"/>
            </w:tcBorders>
            <w:vAlign w:val="top"/>
          </w:tcPr>
          <w:p w14:paraId="41C39556">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2.120</w:t>
            </w:r>
          </w:p>
        </w:tc>
        <w:tc>
          <w:tcPr>
            <w:tcW w:w="1269" w:type="dxa"/>
            <w:vMerge w:val="restart"/>
            <w:tcBorders>
              <w:bottom w:val="nil"/>
            </w:tcBorders>
            <w:vAlign w:val="top"/>
          </w:tcPr>
          <w:p w14:paraId="0B6E02CF">
            <w:pPr>
              <w:keepNext w:val="0"/>
              <w:keepLines w:val="0"/>
              <w:pageBreakBefore w:val="0"/>
              <w:widowControl/>
              <w:kinsoku w:val="0"/>
              <w:wordWrap/>
              <w:overflowPunct/>
              <w:topLinePunct w:val="0"/>
              <w:autoSpaceDE w:val="0"/>
              <w:autoSpaceDN w:val="0"/>
              <w:bidi w:val="0"/>
              <w:adjustRightInd w:val="0"/>
              <w:snapToGrid w:val="0"/>
              <w:spacing w:before="239" w:line="240" w:lineRule="auto"/>
              <w:ind w:left="41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5240</w:t>
            </w:r>
          </w:p>
        </w:tc>
      </w:tr>
      <w:tr w14:paraId="49C4E0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361633F8">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3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2.00</w:t>
            </w:r>
          </w:p>
        </w:tc>
        <w:tc>
          <w:tcPr>
            <w:tcW w:w="1176" w:type="dxa"/>
            <w:vMerge w:val="restart"/>
            <w:tcBorders>
              <w:bottom w:val="nil"/>
            </w:tcBorders>
            <w:vAlign w:val="top"/>
          </w:tcPr>
          <w:p w14:paraId="4B0A9674">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0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12.57</w:t>
            </w:r>
          </w:p>
        </w:tc>
        <w:tc>
          <w:tcPr>
            <w:tcW w:w="1201" w:type="dxa"/>
            <w:vMerge w:val="continue"/>
            <w:tcBorders>
              <w:top w:val="nil"/>
            </w:tcBorders>
            <w:vAlign w:val="top"/>
          </w:tcPr>
          <w:p w14:paraId="432C063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4788DAF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1F4F324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6CBFE9A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5688C78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3E31C5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continue"/>
            <w:tcBorders>
              <w:top w:val="nil"/>
            </w:tcBorders>
            <w:vAlign w:val="top"/>
          </w:tcPr>
          <w:p w14:paraId="1816F44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4A42E16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062F3BD8">
            <w:pPr>
              <w:keepNext w:val="0"/>
              <w:keepLines w:val="0"/>
              <w:pageBreakBefore w:val="0"/>
              <w:widowControl/>
              <w:kinsoku w:val="0"/>
              <w:wordWrap/>
              <w:overflowPunct/>
              <w:topLinePunct w:val="0"/>
              <w:autoSpaceDE w:val="0"/>
              <w:autoSpaceDN w:val="0"/>
              <w:bidi w:val="0"/>
              <w:adjustRightInd w:val="0"/>
              <w:snapToGrid w:val="0"/>
              <w:spacing w:before="237" w:line="240" w:lineRule="auto"/>
              <w:ind w:left="26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14.907</w:t>
            </w:r>
          </w:p>
        </w:tc>
        <w:tc>
          <w:tcPr>
            <w:tcW w:w="1176" w:type="dxa"/>
            <w:vMerge w:val="restart"/>
            <w:tcBorders>
              <w:bottom w:val="nil"/>
            </w:tcBorders>
            <w:vAlign w:val="top"/>
          </w:tcPr>
          <w:p w14:paraId="365F9825">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1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14749</w:t>
            </w:r>
          </w:p>
        </w:tc>
        <w:tc>
          <w:tcPr>
            <w:tcW w:w="1264" w:type="dxa"/>
            <w:vMerge w:val="restart"/>
            <w:tcBorders>
              <w:bottom w:val="nil"/>
            </w:tcBorders>
            <w:vAlign w:val="top"/>
          </w:tcPr>
          <w:p w14:paraId="3B9C46E0">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19989</w:t>
            </w:r>
          </w:p>
        </w:tc>
        <w:tc>
          <w:tcPr>
            <w:tcW w:w="1204" w:type="dxa"/>
            <w:vMerge w:val="restart"/>
            <w:tcBorders>
              <w:bottom w:val="nil"/>
            </w:tcBorders>
            <w:vAlign w:val="top"/>
          </w:tcPr>
          <w:p w14:paraId="12F38768">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2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6.804</w:t>
            </w:r>
          </w:p>
        </w:tc>
        <w:tc>
          <w:tcPr>
            <w:tcW w:w="1269" w:type="dxa"/>
            <w:vMerge w:val="restart"/>
            <w:tcBorders>
              <w:bottom w:val="nil"/>
            </w:tcBorders>
            <w:vAlign w:val="top"/>
          </w:tcPr>
          <w:p w14:paraId="2641D374">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10192</w:t>
            </w:r>
          </w:p>
        </w:tc>
      </w:tr>
      <w:tr w14:paraId="78725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61CD4DE1">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3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2.40</w:t>
            </w:r>
          </w:p>
        </w:tc>
        <w:tc>
          <w:tcPr>
            <w:tcW w:w="1176" w:type="dxa"/>
            <w:vMerge w:val="restart"/>
            <w:tcBorders>
              <w:bottom w:val="nil"/>
            </w:tcBorders>
            <w:vAlign w:val="top"/>
          </w:tcPr>
          <w:p w14:paraId="5FCF53C1">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0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17.24</w:t>
            </w:r>
          </w:p>
        </w:tc>
        <w:tc>
          <w:tcPr>
            <w:tcW w:w="1201" w:type="dxa"/>
            <w:vMerge w:val="continue"/>
            <w:tcBorders>
              <w:top w:val="nil"/>
            </w:tcBorders>
            <w:vAlign w:val="top"/>
          </w:tcPr>
          <w:p w14:paraId="51549D9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27F881A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2322493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121F127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0E0364C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215C3F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6F83CC6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2E3FAAB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021A92F2">
            <w:pPr>
              <w:keepNext w:val="0"/>
              <w:keepLines w:val="0"/>
              <w:pageBreakBefore w:val="0"/>
              <w:widowControl/>
              <w:kinsoku w:val="0"/>
              <w:wordWrap/>
              <w:overflowPunct/>
              <w:topLinePunct w:val="0"/>
              <w:autoSpaceDE w:val="0"/>
              <w:autoSpaceDN w:val="0"/>
              <w:bidi w:val="0"/>
              <w:adjustRightInd w:val="0"/>
              <w:snapToGrid w:val="0"/>
              <w:spacing w:before="240" w:line="240" w:lineRule="auto"/>
              <w:ind w:left="26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19.262</w:t>
            </w:r>
          </w:p>
        </w:tc>
        <w:tc>
          <w:tcPr>
            <w:tcW w:w="1176" w:type="dxa"/>
            <w:vMerge w:val="restart"/>
            <w:tcBorders>
              <w:bottom w:val="nil"/>
            </w:tcBorders>
            <w:vAlign w:val="top"/>
          </w:tcPr>
          <w:p w14:paraId="2BA6F16B">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0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21467</w:t>
            </w:r>
          </w:p>
        </w:tc>
        <w:tc>
          <w:tcPr>
            <w:tcW w:w="1264" w:type="dxa"/>
            <w:vMerge w:val="restart"/>
            <w:tcBorders>
              <w:bottom w:val="nil"/>
            </w:tcBorders>
            <w:vAlign w:val="top"/>
          </w:tcPr>
          <w:p w14:paraId="39870672">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31658</w:t>
            </w:r>
          </w:p>
        </w:tc>
        <w:tc>
          <w:tcPr>
            <w:tcW w:w="1204" w:type="dxa"/>
            <w:vMerge w:val="restart"/>
            <w:tcBorders>
              <w:bottom w:val="nil"/>
            </w:tcBorders>
            <w:vAlign w:val="top"/>
          </w:tcPr>
          <w:p w14:paraId="1591A35B">
            <w:pPr>
              <w:keepNext w:val="0"/>
              <w:keepLines w:val="0"/>
              <w:pageBreakBefore w:val="0"/>
              <w:widowControl/>
              <w:kinsoku w:val="0"/>
              <w:wordWrap/>
              <w:overflowPunct/>
              <w:topLinePunct w:val="0"/>
              <w:autoSpaceDE w:val="0"/>
              <w:autoSpaceDN w:val="0"/>
              <w:bidi w:val="0"/>
              <w:adjustRightInd w:val="0"/>
              <w:snapToGrid w:val="0"/>
              <w:spacing w:before="240" w:line="240" w:lineRule="auto"/>
              <w:ind w:left="2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13.349</w:t>
            </w:r>
          </w:p>
        </w:tc>
        <w:tc>
          <w:tcPr>
            <w:tcW w:w="1269" w:type="dxa"/>
            <w:vMerge w:val="restart"/>
            <w:tcBorders>
              <w:bottom w:val="nil"/>
            </w:tcBorders>
            <w:vAlign w:val="top"/>
          </w:tcPr>
          <w:p w14:paraId="5B0E5063">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12436</w:t>
            </w:r>
          </w:p>
        </w:tc>
      </w:tr>
      <w:tr w14:paraId="10B58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1982C2C1">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3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2.80</w:t>
            </w:r>
          </w:p>
        </w:tc>
        <w:tc>
          <w:tcPr>
            <w:tcW w:w="1176" w:type="dxa"/>
            <w:vMerge w:val="restart"/>
            <w:tcBorders>
              <w:bottom w:val="nil"/>
            </w:tcBorders>
            <w:vAlign w:val="top"/>
          </w:tcPr>
          <w:p w14:paraId="3BE6BED2">
            <w:pPr>
              <w:keepNext w:val="0"/>
              <w:keepLines w:val="0"/>
              <w:pageBreakBefore w:val="0"/>
              <w:widowControl/>
              <w:kinsoku w:val="0"/>
              <w:wordWrap/>
              <w:overflowPunct/>
              <w:topLinePunct w:val="0"/>
              <w:autoSpaceDE w:val="0"/>
              <w:autoSpaceDN w:val="0"/>
              <w:bidi w:val="0"/>
              <w:adjustRightInd w:val="0"/>
              <w:snapToGrid w:val="0"/>
              <w:spacing w:before="237" w:line="240" w:lineRule="auto"/>
              <w:ind w:left="29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21.28</w:t>
            </w:r>
          </w:p>
        </w:tc>
        <w:tc>
          <w:tcPr>
            <w:tcW w:w="1201" w:type="dxa"/>
            <w:vMerge w:val="continue"/>
            <w:tcBorders>
              <w:top w:val="nil"/>
            </w:tcBorders>
            <w:vAlign w:val="top"/>
          </w:tcPr>
          <w:p w14:paraId="1B56CE5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10CEB8C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21A0FFB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1D931D1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61E7044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11CE65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continue"/>
            <w:tcBorders>
              <w:top w:val="nil"/>
            </w:tcBorders>
            <w:vAlign w:val="top"/>
          </w:tcPr>
          <w:p w14:paraId="264E330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16C40CE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36FFE7D3">
            <w:pPr>
              <w:keepNext w:val="0"/>
              <w:keepLines w:val="0"/>
              <w:pageBreakBefore w:val="0"/>
              <w:widowControl/>
              <w:kinsoku w:val="0"/>
              <w:wordWrap/>
              <w:overflowPunct/>
              <w:topLinePunct w:val="0"/>
              <w:autoSpaceDE w:val="0"/>
              <w:autoSpaceDN w:val="0"/>
              <w:bidi w:val="0"/>
              <w:adjustRightInd w:val="0"/>
              <w:snapToGrid w:val="0"/>
              <w:spacing w:before="238" w:line="240" w:lineRule="auto"/>
              <w:ind w:left="25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20.040</w:t>
            </w:r>
          </w:p>
        </w:tc>
        <w:tc>
          <w:tcPr>
            <w:tcW w:w="1176" w:type="dxa"/>
            <w:vMerge w:val="restart"/>
            <w:tcBorders>
              <w:bottom w:val="nil"/>
            </w:tcBorders>
            <w:vAlign w:val="top"/>
          </w:tcPr>
          <w:p w14:paraId="51D45403">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0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27737</w:t>
            </w:r>
          </w:p>
        </w:tc>
        <w:tc>
          <w:tcPr>
            <w:tcW w:w="1264" w:type="dxa"/>
            <w:vMerge w:val="restart"/>
            <w:tcBorders>
              <w:bottom w:val="nil"/>
            </w:tcBorders>
            <w:vAlign w:val="top"/>
          </w:tcPr>
          <w:p w14:paraId="7E3A8D69">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4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40173</w:t>
            </w:r>
          </w:p>
        </w:tc>
        <w:tc>
          <w:tcPr>
            <w:tcW w:w="1204" w:type="dxa"/>
            <w:vMerge w:val="restart"/>
            <w:tcBorders>
              <w:bottom w:val="nil"/>
            </w:tcBorders>
            <w:vAlign w:val="top"/>
          </w:tcPr>
          <w:p w14:paraId="6A429A1B">
            <w:pPr>
              <w:keepNext w:val="0"/>
              <w:keepLines w:val="0"/>
              <w:pageBreakBefore w:val="0"/>
              <w:widowControl/>
              <w:kinsoku w:val="0"/>
              <w:wordWrap/>
              <w:overflowPunct/>
              <w:topLinePunct w:val="0"/>
              <w:autoSpaceDE w:val="0"/>
              <w:autoSpaceDN w:val="0"/>
              <w:bidi w:val="0"/>
              <w:adjustRightInd w:val="0"/>
              <w:snapToGrid w:val="0"/>
              <w:spacing w:before="238" w:line="240" w:lineRule="auto"/>
              <w:ind w:left="2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18.542</w:t>
            </w:r>
          </w:p>
        </w:tc>
        <w:tc>
          <w:tcPr>
            <w:tcW w:w="1269" w:type="dxa"/>
            <w:vMerge w:val="restart"/>
            <w:tcBorders>
              <w:bottom w:val="nil"/>
            </w:tcBorders>
            <w:vAlign w:val="top"/>
          </w:tcPr>
          <w:p w14:paraId="2455C6FD">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13473</w:t>
            </w:r>
          </w:p>
        </w:tc>
      </w:tr>
      <w:tr w14:paraId="192F18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1125" w:type="dxa"/>
            <w:vMerge w:val="restart"/>
            <w:tcBorders>
              <w:bottom w:val="nil"/>
            </w:tcBorders>
            <w:vAlign w:val="top"/>
          </w:tcPr>
          <w:p w14:paraId="513C8160">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3.20</w:t>
            </w:r>
          </w:p>
        </w:tc>
        <w:tc>
          <w:tcPr>
            <w:tcW w:w="1176" w:type="dxa"/>
            <w:vMerge w:val="restart"/>
            <w:tcBorders>
              <w:bottom w:val="nil"/>
            </w:tcBorders>
            <w:vAlign w:val="top"/>
          </w:tcPr>
          <w:p w14:paraId="58B877B6">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0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18.80</w:t>
            </w:r>
          </w:p>
        </w:tc>
        <w:tc>
          <w:tcPr>
            <w:tcW w:w="1201" w:type="dxa"/>
            <w:vMerge w:val="continue"/>
            <w:tcBorders>
              <w:top w:val="nil"/>
            </w:tcBorders>
            <w:vAlign w:val="top"/>
          </w:tcPr>
          <w:p w14:paraId="5D97166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6A2F344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69E2BA3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32FB218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320DBD8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0F43D8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7593C1B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4D49FE0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437A97AD">
            <w:pPr>
              <w:keepNext w:val="0"/>
              <w:keepLines w:val="0"/>
              <w:pageBreakBefore w:val="0"/>
              <w:widowControl/>
              <w:kinsoku w:val="0"/>
              <w:wordWrap/>
              <w:overflowPunct/>
              <w:topLinePunct w:val="0"/>
              <w:autoSpaceDE w:val="0"/>
              <w:autoSpaceDN w:val="0"/>
              <w:bidi w:val="0"/>
              <w:adjustRightInd w:val="0"/>
              <w:snapToGrid w:val="0"/>
              <w:spacing w:before="240" w:line="240" w:lineRule="auto"/>
              <w:ind w:left="26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17.552</w:t>
            </w:r>
          </w:p>
        </w:tc>
        <w:tc>
          <w:tcPr>
            <w:tcW w:w="1176" w:type="dxa"/>
            <w:vMerge w:val="restart"/>
            <w:tcBorders>
              <w:bottom w:val="nil"/>
            </w:tcBorders>
            <w:vAlign w:val="top"/>
          </w:tcPr>
          <w:p w14:paraId="791061BF">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0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28858</w:t>
            </w:r>
          </w:p>
        </w:tc>
        <w:tc>
          <w:tcPr>
            <w:tcW w:w="1264" w:type="dxa"/>
            <w:vMerge w:val="restart"/>
            <w:tcBorders>
              <w:bottom w:val="nil"/>
            </w:tcBorders>
            <w:vAlign w:val="top"/>
          </w:tcPr>
          <w:p w14:paraId="474E5816">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4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42331</w:t>
            </w:r>
          </w:p>
        </w:tc>
        <w:tc>
          <w:tcPr>
            <w:tcW w:w="1204" w:type="dxa"/>
            <w:vMerge w:val="restart"/>
            <w:tcBorders>
              <w:bottom w:val="nil"/>
            </w:tcBorders>
            <w:vAlign w:val="top"/>
          </w:tcPr>
          <w:p w14:paraId="6EF0ACC9">
            <w:pPr>
              <w:keepNext w:val="0"/>
              <w:keepLines w:val="0"/>
              <w:pageBreakBefore w:val="0"/>
              <w:widowControl/>
              <w:kinsoku w:val="0"/>
              <w:wordWrap/>
              <w:overflowPunct/>
              <w:topLinePunct w:val="0"/>
              <w:autoSpaceDE w:val="0"/>
              <w:autoSpaceDN w:val="0"/>
              <w:bidi w:val="0"/>
              <w:adjustRightInd w:val="0"/>
              <w:snapToGrid w:val="0"/>
              <w:spacing w:before="240" w:line="240" w:lineRule="auto"/>
              <w:ind w:left="26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b w:val="0"/>
                <w:bCs w:val="0"/>
                <w:snapToGrid w:val="0"/>
                <w:color w:val="000000"/>
                <w:spacing w:val="-6"/>
                <w:kern w:val="0"/>
                <w:sz w:val="24"/>
                <w:szCs w:val="24"/>
                <w:lang w:val="en-US" w:eastAsia="en-US" w:bidi="ar-SA"/>
              </w:rPr>
              <w:t>19.872</w:t>
            </w:r>
          </w:p>
        </w:tc>
        <w:tc>
          <w:tcPr>
            <w:tcW w:w="1269" w:type="dxa"/>
            <w:vMerge w:val="restart"/>
            <w:tcBorders>
              <w:bottom w:val="nil"/>
            </w:tcBorders>
            <w:vAlign w:val="top"/>
          </w:tcPr>
          <w:p w14:paraId="5189D812">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13715</w:t>
            </w:r>
          </w:p>
        </w:tc>
      </w:tr>
      <w:tr w14:paraId="40DB4A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703DB58A">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3.60</w:t>
            </w:r>
          </w:p>
        </w:tc>
        <w:tc>
          <w:tcPr>
            <w:tcW w:w="1176" w:type="dxa"/>
            <w:vMerge w:val="restart"/>
            <w:tcBorders>
              <w:bottom w:val="nil"/>
            </w:tcBorders>
            <w:vAlign w:val="top"/>
          </w:tcPr>
          <w:p w14:paraId="580A3FEA">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0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16.31</w:t>
            </w:r>
          </w:p>
        </w:tc>
        <w:tc>
          <w:tcPr>
            <w:tcW w:w="1201" w:type="dxa"/>
            <w:vMerge w:val="continue"/>
            <w:tcBorders>
              <w:top w:val="nil"/>
            </w:tcBorders>
            <w:vAlign w:val="top"/>
          </w:tcPr>
          <w:p w14:paraId="6E08CCE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09E32FB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7240D5C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62AF987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28781CA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692A8D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1125" w:type="dxa"/>
            <w:vMerge w:val="continue"/>
            <w:tcBorders>
              <w:top w:val="nil"/>
            </w:tcBorders>
            <w:vAlign w:val="top"/>
          </w:tcPr>
          <w:p w14:paraId="51AB3CA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16CCD52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05673D99">
            <w:pPr>
              <w:keepNext w:val="0"/>
              <w:keepLines w:val="0"/>
              <w:pageBreakBefore w:val="0"/>
              <w:widowControl/>
              <w:kinsoku w:val="0"/>
              <w:wordWrap/>
              <w:overflowPunct/>
              <w:topLinePunct w:val="0"/>
              <w:autoSpaceDE w:val="0"/>
              <w:autoSpaceDN w:val="0"/>
              <w:bidi w:val="0"/>
              <w:adjustRightInd w:val="0"/>
              <w:snapToGrid w:val="0"/>
              <w:spacing w:before="238" w:line="240" w:lineRule="auto"/>
              <w:ind w:left="26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15.064</w:t>
            </w:r>
          </w:p>
        </w:tc>
        <w:tc>
          <w:tcPr>
            <w:tcW w:w="1176" w:type="dxa"/>
            <w:vMerge w:val="restart"/>
            <w:tcBorders>
              <w:bottom w:val="nil"/>
            </w:tcBorders>
            <w:vAlign w:val="top"/>
          </w:tcPr>
          <w:p w14:paraId="202342FA">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0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25275</w:t>
            </w:r>
          </w:p>
        </w:tc>
        <w:tc>
          <w:tcPr>
            <w:tcW w:w="1264" w:type="dxa"/>
            <w:vMerge w:val="restart"/>
            <w:tcBorders>
              <w:bottom w:val="nil"/>
            </w:tcBorders>
            <w:vAlign w:val="top"/>
          </w:tcPr>
          <w:p w14:paraId="14EBE45B">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38990</w:t>
            </w:r>
          </w:p>
        </w:tc>
        <w:tc>
          <w:tcPr>
            <w:tcW w:w="1204" w:type="dxa"/>
            <w:vMerge w:val="restart"/>
            <w:tcBorders>
              <w:bottom w:val="nil"/>
            </w:tcBorders>
            <w:vAlign w:val="top"/>
          </w:tcPr>
          <w:p w14:paraId="7D6B2348">
            <w:pPr>
              <w:keepNext w:val="0"/>
              <w:keepLines w:val="0"/>
              <w:pageBreakBefore w:val="0"/>
              <w:widowControl/>
              <w:kinsoku w:val="0"/>
              <w:wordWrap/>
              <w:overflowPunct/>
              <w:topLinePunct w:val="0"/>
              <w:autoSpaceDE w:val="0"/>
              <w:autoSpaceDN w:val="0"/>
              <w:bidi w:val="0"/>
              <w:adjustRightInd w:val="0"/>
              <w:snapToGrid w:val="0"/>
              <w:spacing w:before="238" w:line="240" w:lineRule="auto"/>
              <w:ind w:left="2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17.814</w:t>
            </w:r>
          </w:p>
        </w:tc>
        <w:tc>
          <w:tcPr>
            <w:tcW w:w="1269" w:type="dxa"/>
            <w:vMerge w:val="restart"/>
            <w:tcBorders>
              <w:bottom w:val="nil"/>
            </w:tcBorders>
            <w:vAlign w:val="top"/>
          </w:tcPr>
          <w:p w14:paraId="6795DE6C">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13337</w:t>
            </w:r>
          </w:p>
        </w:tc>
      </w:tr>
      <w:tr w14:paraId="6A6485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5BE5CF6B">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3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4.00</w:t>
            </w:r>
          </w:p>
        </w:tc>
        <w:tc>
          <w:tcPr>
            <w:tcW w:w="1176" w:type="dxa"/>
            <w:vMerge w:val="restart"/>
            <w:tcBorders>
              <w:bottom w:val="nil"/>
            </w:tcBorders>
            <w:vAlign w:val="top"/>
          </w:tcPr>
          <w:p w14:paraId="273CFBF3">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0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13.82</w:t>
            </w:r>
          </w:p>
        </w:tc>
        <w:tc>
          <w:tcPr>
            <w:tcW w:w="1201" w:type="dxa"/>
            <w:vMerge w:val="continue"/>
            <w:tcBorders>
              <w:top w:val="nil"/>
            </w:tcBorders>
            <w:vAlign w:val="top"/>
          </w:tcPr>
          <w:p w14:paraId="1F39C79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51037D3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625BDA1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4FD145B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38C3DD7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55C45F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55BBE8A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32A24B7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1DD8085A">
            <w:pPr>
              <w:keepNext w:val="0"/>
              <w:keepLines w:val="0"/>
              <w:pageBreakBefore w:val="0"/>
              <w:widowControl/>
              <w:kinsoku w:val="0"/>
              <w:wordWrap/>
              <w:overflowPunct/>
              <w:topLinePunct w:val="0"/>
              <w:autoSpaceDE w:val="0"/>
              <w:autoSpaceDN w:val="0"/>
              <w:bidi w:val="0"/>
              <w:adjustRightInd w:val="0"/>
              <w:snapToGrid w:val="0"/>
              <w:spacing w:before="240" w:line="240" w:lineRule="auto"/>
              <w:ind w:left="26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12.576</w:t>
            </w:r>
          </w:p>
        </w:tc>
        <w:tc>
          <w:tcPr>
            <w:tcW w:w="1176" w:type="dxa"/>
            <w:vMerge w:val="restart"/>
            <w:tcBorders>
              <w:bottom w:val="nil"/>
            </w:tcBorders>
            <w:vAlign w:val="top"/>
          </w:tcPr>
          <w:p w14:paraId="73DC434B">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0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21692</w:t>
            </w:r>
          </w:p>
        </w:tc>
        <w:tc>
          <w:tcPr>
            <w:tcW w:w="1264" w:type="dxa"/>
            <w:vMerge w:val="restart"/>
            <w:tcBorders>
              <w:bottom w:val="nil"/>
            </w:tcBorders>
            <w:vAlign w:val="top"/>
          </w:tcPr>
          <w:p w14:paraId="4E1B5136">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35030</w:t>
            </w:r>
          </w:p>
        </w:tc>
        <w:tc>
          <w:tcPr>
            <w:tcW w:w="1204" w:type="dxa"/>
            <w:vMerge w:val="restart"/>
            <w:tcBorders>
              <w:bottom w:val="nil"/>
            </w:tcBorders>
            <w:vAlign w:val="top"/>
          </w:tcPr>
          <w:p w14:paraId="017A5364">
            <w:pPr>
              <w:keepNext w:val="0"/>
              <w:keepLines w:val="0"/>
              <w:pageBreakBefore w:val="0"/>
              <w:widowControl/>
              <w:kinsoku w:val="0"/>
              <w:wordWrap/>
              <w:overflowPunct/>
              <w:topLinePunct w:val="0"/>
              <w:autoSpaceDE w:val="0"/>
              <w:autoSpaceDN w:val="0"/>
              <w:bidi w:val="0"/>
              <w:adjustRightInd w:val="0"/>
              <w:snapToGrid w:val="0"/>
              <w:spacing w:before="240" w:line="240" w:lineRule="auto"/>
              <w:ind w:left="2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15.386</w:t>
            </w:r>
          </w:p>
        </w:tc>
        <w:tc>
          <w:tcPr>
            <w:tcW w:w="1269" w:type="dxa"/>
            <w:vMerge w:val="restart"/>
            <w:tcBorders>
              <w:bottom w:val="nil"/>
            </w:tcBorders>
            <w:vAlign w:val="top"/>
          </w:tcPr>
          <w:p w14:paraId="348B2472">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12874</w:t>
            </w:r>
          </w:p>
        </w:tc>
      </w:tr>
      <w:tr w14:paraId="388208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601D63A6">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3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4.40</w:t>
            </w:r>
          </w:p>
        </w:tc>
        <w:tc>
          <w:tcPr>
            <w:tcW w:w="1176" w:type="dxa"/>
            <w:vMerge w:val="restart"/>
            <w:tcBorders>
              <w:bottom w:val="nil"/>
            </w:tcBorders>
            <w:vAlign w:val="top"/>
          </w:tcPr>
          <w:p w14:paraId="2CFE8801">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0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11.33</w:t>
            </w:r>
          </w:p>
        </w:tc>
        <w:tc>
          <w:tcPr>
            <w:tcW w:w="1201" w:type="dxa"/>
            <w:vMerge w:val="continue"/>
            <w:tcBorders>
              <w:top w:val="nil"/>
            </w:tcBorders>
            <w:vAlign w:val="top"/>
          </w:tcPr>
          <w:p w14:paraId="1284CBE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5C37465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709F4EA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7923BF5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4089418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74DB1E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continue"/>
            <w:tcBorders>
              <w:top w:val="nil"/>
            </w:tcBorders>
            <w:vAlign w:val="top"/>
          </w:tcPr>
          <w:p w14:paraId="3F75F4F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0830A94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0F56C1BC">
            <w:pPr>
              <w:keepNext w:val="0"/>
              <w:keepLines w:val="0"/>
              <w:pageBreakBefore w:val="0"/>
              <w:widowControl/>
              <w:kinsoku w:val="0"/>
              <w:wordWrap/>
              <w:overflowPunct/>
              <w:topLinePunct w:val="0"/>
              <w:autoSpaceDE w:val="0"/>
              <w:autoSpaceDN w:val="0"/>
              <w:bidi w:val="0"/>
              <w:adjustRightInd w:val="0"/>
              <w:snapToGrid w:val="0"/>
              <w:spacing w:before="238" w:line="240" w:lineRule="auto"/>
              <w:ind w:left="26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10.088</w:t>
            </w:r>
          </w:p>
        </w:tc>
        <w:tc>
          <w:tcPr>
            <w:tcW w:w="1176" w:type="dxa"/>
            <w:vMerge w:val="restart"/>
            <w:tcBorders>
              <w:bottom w:val="nil"/>
            </w:tcBorders>
            <w:vAlign w:val="top"/>
          </w:tcPr>
          <w:p w14:paraId="5329AA93">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1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18110</w:t>
            </w:r>
          </w:p>
        </w:tc>
        <w:tc>
          <w:tcPr>
            <w:tcW w:w="1264" w:type="dxa"/>
            <w:vMerge w:val="restart"/>
            <w:tcBorders>
              <w:bottom w:val="nil"/>
            </w:tcBorders>
            <w:vAlign w:val="top"/>
          </w:tcPr>
          <w:p w14:paraId="4B699C2B">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5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30984</w:t>
            </w:r>
          </w:p>
        </w:tc>
        <w:tc>
          <w:tcPr>
            <w:tcW w:w="1204" w:type="dxa"/>
            <w:vMerge w:val="restart"/>
            <w:tcBorders>
              <w:bottom w:val="nil"/>
            </w:tcBorders>
            <w:vAlign w:val="top"/>
          </w:tcPr>
          <w:p w14:paraId="4843F7F7">
            <w:pPr>
              <w:keepNext w:val="0"/>
              <w:keepLines w:val="0"/>
              <w:pageBreakBefore w:val="0"/>
              <w:widowControl/>
              <w:kinsoku w:val="0"/>
              <w:wordWrap/>
              <w:overflowPunct/>
              <w:topLinePunct w:val="0"/>
              <w:autoSpaceDE w:val="0"/>
              <w:autoSpaceDN w:val="0"/>
              <w:bidi w:val="0"/>
              <w:adjustRightInd w:val="0"/>
              <w:snapToGrid w:val="0"/>
              <w:spacing w:before="238" w:line="240" w:lineRule="auto"/>
              <w:ind w:left="2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12.949</w:t>
            </w:r>
          </w:p>
        </w:tc>
        <w:tc>
          <w:tcPr>
            <w:tcW w:w="1269" w:type="dxa"/>
            <w:vMerge w:val="restart"/>
            <w:tcBorders>
              <w:bottom w:val="nil"/>
            </w:tcBorders>
            <w:vAlign w:val="top"/>
          </w:tcPr>
          <w:p w14:paraId="6940E889">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12337</w:t>
            </w:r>
          </w:p>
        </w:tc>
      </w:tr>
      <w:tr w14:paraId="4B24AB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22631C91">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3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4.80</w:t>
            </w:r>
          </w:p>
        </w:tc>
        <w:tc>
          <w:tcPr>
            <w:tcW w:w="1176" w:type="dxa"/>
            <w:vMerge w:val="restart"/>
            <w:tcBorders>
              <w:bottom w:val="nil"/>
            </w:tcBorders>
            <w:vAlign w:val="top"/>
          </w:tcPr>
          <w:p w14:paraId="64D0BD3F">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6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8.84</w:t>
            </w:r>
          </w:p>
        </w:tc>
        <w:tc>
          <w:tcPr>
            <w:tcW w:w="1201" w:type="dxa"/>
            <w:vMerge w:val="continue"/>
            <w:tcBorders>
              <w:top w:val="nil"/>
            </w:tcBorders>
            <w:vAlign w:val="top"/>
          </w:tcPr>
          <w:p w14:paraId="58B2F6F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641B03A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74B1E1F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44D3C0A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74A1305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3E36A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7253415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79F7BD1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444FE164">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1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7.600</w:t>
            </w:r>
          </w:p>
        </w:tc>
        <w:tc>
          <w:tcPr>
            <w:tcW w:w="1176" w:type="dxa"/>
            <w:vMerge w:val="restart"/>
            <w:tcBorders>
              <w:bottom w:val="nil"/>
            </w:tcBorders>
            <w:vAlign w:val="top"/>
          </w:tcPr>
          <w:p w14:paraId="736599BF">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1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14527</w:t>
            </w:r>
          </w:p>
        </w:tc>
        <w:tc>
          <w:tcPr>
            <w:tcW w:w="1264" w:type="dxa"/>
            <w:vMerge w:val="restart"/>
            <w:tcBorders>
              <w:bottom w:val="nil"/>
            </w:tcBorders>
            <w:vAlign w:val="top"/>
          </w:tcPr>
          <w:p w14:paraId="7585E0DA">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26864</w:t>
            </w:r>
          </w:p>
        </w:tc>
        <w:tc>
          <w:tcPr>
            <w:tcW w:w="1204" w:type="dxa"/>
            <w:vMerge w:val="restart"/>
            <w:tcBorders>
              <w:bottom w:val="nil"/>
            </w:tcBorders>
            <w:vAlign w:val="top"/>
          </w:tcPr>
          <w:p w14:paraId="6DC6B3F6">
            <w:pPr>
              <w:keepNext w:val="0"/>
              <w:keepLines w:val="0"/>
              <w:pageBreakBefore w:val="0"/>
              <w:widowControl/>
              <w:kinsoku w:val="0"/>
              <w:wordWrap/>
              <w:overflowPunct/>
              <w:topLinePunct w:val="0"/>
              <w:autoSpaceDE w:val="0"/>
              <w:autoSpaceDN w:val="0"/>
              <w:bidi w:val="0"/>
              <w:adjustRightInd w:val="0"/>
              <w:snapToGrid w:val="0"/>
              <w:spacing w:before="241" w:line="240" w:lineRule="auto"/>
              <w:ind w:left="2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10.548</w:t>
            </w:r>
          </w:p>
        </w:tc>
        <w:tc>
          <w:tcPr>
            <w:tcW w:w="1269" w:type="dxa"/>
            <w:vMerge w:val="restart"/>
            <w:tcBorders>
              <w:bottom w:val="nil"/>
            </w:tcBorders>
            <w:vAlign w:val="top"/>
          </w:tcPr>
          <w:p w14:paraId="0FC8FADD">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11675</w:t>
            </w:r>
          </w:p>
        </w:tc>
      </w:tr>
      <w:tr w14:paraId="2EFF07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7E55930A">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4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5.20</w:t>
            </w:r>
          </w:p>
        </w:tc>
        <w:tc>
          <w:tcPr>
            <w:tcW w:w="1176" w:type="dxa"/>
            <w:vMerge w:val="restart"/>
            <w:tcBorders>
              <w:bottom w:val="nil"/>
            </w:tcBorders>
            <w:vAlign w:val="top"/>
          </w:tcPr>
          <w:p w14:paraId="2B635D18">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6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6.36</w:t>
            </w:r>
          </w:p>
        </w:tc>
        <w:tc>
          <w:tcPr>
            <w:tcW w:w="1201" w:type="dxa"/>
            <w:vMerge w:val="continue"/>
            <w:tcBorders>
              <w:top w:val="nil"/>
            </w:tcBorders>
            <w:vAlign w:val="top"/>
          </w:tcPr>
          <w:p w14:paraId="19A8801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1A05DB0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4C7F9F6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131B04F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4690621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6A52F6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1125" w:type="dxa"/>
            <w:vMerge w:val="continue"/>
            <w:tcBorders>
              <w:top w:val="nil"/>
            </w:tcBorders>
            <w:vAlign w:val="top"/>
          </w:tcPr>
          <w:p w14:paraId="3449050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4FA3802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5A213AAC">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1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5.301</w:t>
            </w:r>
          </w:p>
        </w:tc>
        <w:tc>
          <w:tcPr>
            <w:tcW w:w="1176" w:type="dxa"/>
            <w:vMerge w:val="restart"/>
            <w:tcBorders>
              <w:bottom w:val="nil"/>
            </w:tcBorders>
            <w:vAlign w:val="top"/>
          </w:tcPr>
          <w:p w14:paraId="42CFC2F1">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1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10944</w:t>
            </w:r>
          </w:p>
        </w:tc>
        <w:tc>
          <w:tcPr>
            <w:tcW w:w="1264" w:type="dxa"/>
            <w:vMerge w:val="restart"/>
            <w:tcBorders>
              <w:bottom w:val="nil"/>
            </w:tcBorders>
            <w:vAlign w:val="top"/>
          </w:tcPr>
          <w:p w14:paraId="15771ED9">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4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22619</w:t>
            </w:r>
          </w:p>
        </w:tc>
        <w:tc>
          <w:tcPr>
            <w:tcW w:w="1204" w:type="dxa"/>
            <w:vMerge w:val="restart"/>
            <w:tcBorders>
              <w:bottom w:val="nil"/>
            </w:tcBorders>
            <w:vAlign w:val="top"/>
          </w:tcPr>
          <w:p w14:paraId="67CC2EEA">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2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8.191</w:t>
            </w:r>
          </w:p>
        </w:tc>
        <w:tc>
          <w:tcPr>
            <w:tcW w:w="1269" w:type="dxa"/>
            <w:vMerge w:val="restart"/>
            <w:tcBorders>
              <w:bottom w:val="nil"/>
            </w:tcBorders>
            <w:vAlign w:val="top"/>
          </w:tcPr>
          <w:p w14:paraId="7018AAD9">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10823</w:t>
            </w:r>
          </w:p>
        </w:tc>
      </w:tr>
      <w:tr w14:paraId="09BE08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48ED8037">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4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5.60</w:t>
            </w:r>
          </w:p>
        </w:tc>
        <w:tc>
          <w:tcPr>
            <w:tcW w:w="1176" w:type="dxa"/>
            <w:vMerge w:val="restart"/>
            <w:tcBorders>
              <w:bottom w:val="nil"/>
            </w:tcBorders>
            <w:vAlign w:val="top"/>
          </w:tcPr>
          <w:p w14:paraId="6476786E">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5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4.25</w:t>
            </w:r>
          </w:p>
        </w:tc>
        <w:tc>
          <w:tcPr>
            <w:tcW w:w="1201" w:type="dxa"/>
            <w:vMerge w:val="continue"/>
            <w:tcBorders>
              <w:top w:val="nil"/>
            </w:tcBorders>
            <w:vAlign w:val="top"/>
          </w:tcPr>
          <w:p w14:paraId="724F0D9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2911E43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35812AF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33358CC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350903C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712EC8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177922C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5E76085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0C0D2EC1">
            <w:pPr>
              <w:keepNext w:val="0"/>
              <w:keepLines w:val="0"/>
              <w:pageBreakBefore w:val="0"/>
              <w:widowControl/>
              <w:kinsoku w:val="0"/>
              <w:wordWrap/>
              <w:overflowPunct/>
              <w:topLinePunct w:val="0"/>
              <w:autoSpaceDE w:val="0"/>
              <w:autoSpaceDN w:val="0"/>
              <w:bidi w:val="0"/>
              <w:adjustRightInd w:val="0"/>
              <w:snapToGrid w:val="0"/>
              <w:spacing w:before="242" w:line="240" w:lineRule="auto"/>
              <w:ind w:left="31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4.091</w:t>
            </w:r>
          </w:p>
        </w:tc>
        <w:tc>
          <w:tcPr>
            <w:tcW w:w="1176" w:type="dxa"/>
            <w:vMerge w:val="restart"/>
            <w:tcBorders>
              <w:bottom w:val="nil"/>
            </w:tcBorders>
            <w:vAlign w:val="top"/>
          </w:tcPr>
          <w:p w14:paraId="67C2D073">
            <w:pPr>
              <w:keepNext w:val="0"/>
              <w:keepLines w:val="0"/>
              <w:pageBreakBefore w:val="0"/>
              <w:widowControl/>
              <w:kinsoku w:val="0"/>
              <w:wordWrap/>
              <w:overflowPunct/>
              <w:topLinePunct w:val="0"/>
              <w:autoSpaceDE w:val="0"/>
              <w:autoSpaceDN w:val="0"/>
              <w:bidi w:val="0"/>
              <w:adjustRightInd w:val="0"/>
              <w:snapToGrid w:val="0"/>
              <w:spacing w:before="242" w:line="240" w:lineRule="auto"/>
              <w:ind w:left="36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7634</w:t>
            </w:r>
          </w:p>
        </w:tc>
        <w:tc>
          <w:tcPr>
            <w:tcW w:w="1264" w:type="dxa"/>
            <w:vMerge w:val="restart"/>
            <w:tcBorders>
              <w:bottom w:val="nil"/>
            </w:tcBorders>
            <w:vAlign w:val="top"/>
          </w:tcPr>
          <w:p w14:paraId="11E69431">
            <w:pPr>
              <w:keepNext w:val="0"/>
              <w:keepLines w:val="0"/>
              <w:pageBreakBefore w:val="0"/>
              <w:widowControl/>
              <w:kinsoku w:val="0"/>
              <w:wordWrap/>
              <w:overflowPunct/>
              <w:topLinePunct w:val="0"/>
              <w:autoSpaceDE w:val="0"/>
              <w:autoSpaceDN w:val="0"/>
              <w:bidi w:val="0"/>
              <w:adjustRightInd w:val="0"/>
              <w:snapToGrid w:val="0"/>
              <w:spacing w:before="242"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18457</w:t>
            </w:r>
          </w:p>
        </w:tc>
        <w:tc>
          <w:tcPr>
            <w:tcW w:w="1204" w:type="dxa"/>
            <w:vMerge w:val="restart"/>
            <w:tcBorders>
              <w:bottom w:val="nil"/>
            </w:tcBorders>
            <w:vAlign w:val="top"/>
          </w:tcPr>
          <w:p w14:paraId="066A131E">
            <w:pPr>
              <w:keepNext w:val="0"/>
              <w:keepLines w:val="0"/>
              <w:pageBreakBefore w:val="0"/>
              <w:widowControl/>
              <w:kinsoku w:val="0"/>
              <w:wordWrap/>
              <w:overflowPunct/>
              <w:topLinePunct w:val="0"/>
              <w:autoSpaceDE w:val="0"/>
              <w:autoSpaceDN w:val="0"/>
              <w:bidi w:val="0"/>
              <w:adjustRightInd w:val="0"/>
              <w:snapToGrid w:val="0"/>
              <w:spacing w:before="242" w:line="240" w:lineRule="auto"/>
              <w:ind w:left="32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6.033</w:t>
            </w:r>
          </w:p>
        </w:tc>
        <w:tc>
          <w:tcPr>
            <w:tcW w:w="1269" w:type="dxa"/>
            <w:vMerge w:val="restart"/>
            <w:tcBorders>
              <w:bottom w:val="nil"/>
            </w:tcBorders>
            <w:vAlign w:val="top"/>
          </w:tcPr>
          <w:p w14:paraId="182D648C">
            <w:pPr>
              <w:keepNext w:val="0"/>
              <w:keepLines w:val="0"/>
              <w:pageBreakBefore w:val="0"/>
              <w:widowControl/>
              <w:kinsoku w:val="0"/>
              <w:wordWrap/>
              <w:overflowPunct/>
              <w:topLinePunct w:val="0"/>
              <w:autoSpaceDE w:val="0"/>
              <w:autoSpaceDN w:val="0"/>
              <w:bidi w:val="0"/>
              <w:adjustRightInd w:val="0"/>
              <w:snapToGrid w:val="0"/>
              <w:spacing w:before="242"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9769</w:t>
            </w:r>
          </w:p>
        </w:tc>
      </w:tr>
      <w:tr w14:paraId="7A5B00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4D70DD21">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6.00</w:t>
            </w:r>
          </w:p>
        </w:tc>
        <w:tc>
          <w:tcPr>
            <w:tcW w:w="1176" w:type="dxa"/>
            <w:vMerge w:val="restart"/>
            <w:tcBorders>
              <w:bottom w:val="nil"/>
            </w:tcBorders>
            <w:vAlign w:val="top"/>
          </w:tcPr>
          <w:p w14:paraId="5EF64E97">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6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3.94</w:t>
            </w:r>
          </w:p>
        </w:tc>
        <w:tc>
          <w:tcPr>
            <w:tcW w:w="1201" w:type="dxa"/>
            <w:vMerge w:val="continue"/>
            <w:tcBorders>
              <w:top w:val="nil"/>
            </w:tcBorders>
            <w:vAlign w:val="top"/>
          </w:tcPr>
          <w:p w14:paraId="3A0D948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2E17131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2B982AB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69520DA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60242FA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331E54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continue"/>
            <w:tcBorders>
              <w:top w:val="nil"/>
            </w:tcBorders>
            <w:vAlign w:val="top"/>
          </w:tcPr>
          <w:p w14:paraId="0F9985A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3888F8D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22FFF583">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2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3.780</w:t>
            </w:r>
          </w:p>
        </w:tc>
        <w:tc>
          <w:tcPr>
            <w:tcW w:w="1176" w:type="dxa"/>
            <w:vMerge w:val="restart"/>
            <w:tcBorders>
              <w:bottom w:val="nil"/>
            </w:tcBorders>
            <w:vAlign w:val="top"/>
          </w:tcPr>
          <w:p w14:paraId="5DF6E74C">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5890</w:t>
            </w:r>
          </w:p>
        </w:tc>
        <w:tc>
          <w:tcPr>
            <w:tcW w:w="1264" w:type="dxa"/>
            <w:vMerge w:val="restart"/>
            <w:tcBorders>
              <w:bottom w:val="nil"/>
            </w:tcBorders>
            <w:vAlign w:val="top"/>
          </w:tcPr>
          <w:p w14:paraId="1CF572E9">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15660</w:t>
            </w:r>
          </w:p>
        </w:tc>
        <w:tc>
          <w:tcPr>
            <w:tcW w:w="1204" w:type="dxa"/>
            <w:vMerge w:val="restart"/>
            <w:tcBorders>
              <w:bottom w:val="nil"/>
            </w:tcBorders>
            <w:vAlign w:val="top"/>
          </w:tcPr>
          <w:p w14:paraId="3D4DA03E">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1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4.691</w:t>
            </w:r>
          </w:p>
        </w:tc>
        <w:tc>
          <w:tcPr>
            <w:tcW w:w="1269" w:type="dxa"/>
            <w:vMerge w:val="restart"/>
            <w:tcBorders>
              <w:bottom w:val="nil"/>
            </w:tcBorders>
            <w:vAlign w:val="top"/>
          </w:tcPr>
          <w:p w14:paraId="64FB076A">
            <w:pPr>
              <w:keepNext w:val="0"/>
              <w:keepLines w:val="0"/>
              <w:pageBreakBefore w:val="0"/>
              <w:widowControl/>
              <w:kinsoku w:val="0"/>
              <w:wordWrap/>
              <w:overflowPunct/>
              <w:topLinePunct w:val="0"/>
              <w:autoSpaceDE w:val="0"/>
              <w:autoSpaceDN w:val="0"/>
              <w:bidi w:val="0"/>
              <w:adjustRightInd w:val="0"/>
              <w:snapToGrid w:val="0"/>
              <w:spacing w:before="240"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8904</w:t>
            </w:r>
          </w:p>
        </w:tc>
      </w:tr>
      <w:tr w14:paraId="60A561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1FCB95C5">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6.40</w:t>
            </w:r>
          </w:p>
        </w:tc>
        <w:tc>
          <w:tcPr>
            <w:tcW w:w="1176" w:type="dxa"/>
            <w:vMerge w:val="restart"/>
            <w:tcBorders>
              <w:bottom w:val="nil"/>
            </w:tcBorders>
            <w:vAlign w:val="top"/>
          </w:tcPr>
          <w:p w14:paraId="3C5A70A9">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6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3.62</w:t>
            </w:r>
          </w:p>
        </w:tc>
        <w:tc>
          <w:tcPr>
            <w:tcW w:w="1201" w:type="dxa"/>
            <w:vMerge w:val="continue"/>
            <w:tcBorders>
              <w:top w:val="nil"/>
            </w:tcBorders>
            <w:vAlign w:val="top"/>
          </w:tcPr>
          <w:p w14:paraId="709DF36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33CA140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7F2C76C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40F723E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66A5A71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4DA4FC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26C1490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64FD083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05B31B11">
            <w:pPr>
              <w:keepNext w:val="0"/>
              <w:keepLines w:val="0"/>
              <w:pageBreakBefore w:val="0"/>
              <w:widowControl/>
              <w:kinsoku w:val="0"/>
              <w:wordWrap/>
              <w:overflowPunct/>
              <w:topLinePunct w:val="0"/>
              <w:autoSpaceDE w:val="0"/>
              <w:autoSpaceDN w:val="0"/>
              <w:bidi w:val="0"/>
              <w:adjustRightInd w:val="0"/>
              <w:snapToGrid w:val="0"/>
              <w:spacing w:before="243" w:line="240" w:lineRule="auto"/>
              <w:ind w:left="32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3.469</w:t>
            </w:r>
          </w:p>
        </w:tc>
        <w:tc>
          <w:tcPr>
            <w:tcW w:w="1176" w:type="dxa"/>
            <w:vMerge w:val="restart"/>
            <w:tcBorders>
              <w:bottom w:val="nil"/>
            </w:tcBorders>
            <w:vAlign w:val="top"/>
          </w:tcPr>
          <w:p w14:paraId="33EA1568">
            <w:pPr>
              <w:keepNext w:val="0"/>
              <w:keepLines w:val="0"/>
              <w:pageBreakBefore w:val="0"/>
              <w:widowControl/>
              <w:kinsoku w:val="0"/>
              <w:wordWrap/>
              <w:overflowPunct/>
              <w:topLinePunct w:val="0"/>
              <w:autoSpaceDE w:val="0"/>
              <w:autoSpaceDN w:val="0"/>
              <w:bidi w:val="0"/>
              <w:adjustRightInd w:val="0"/>
              <w:snapToGrid w:val="0"/>
              <w:spacing w:before="243" w:line="240" w:lineRule="auto"/>
              <w:ind w:left="3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5443</w:t>
            </w:r>
          </w:p>
        </w:tc>
        <w:tc>
          <w:tcPr>
            <w:tcW w:w="1264" w:type="dxa"/>
            <w:vMerge w:val="restart"/>
            <w:tcBorders>
              <w:bottom w:val="nil"/>
            </w:tcBorders>
            <w:vAlign w:val="top"/>
          </w:tcPr>
          <w:p w14:paraId="45CA99B9">
            <w:pPr>
              <w:keepNext w:val="0"/>
              <w:keepLines w:val="0"/>
              <w:pageBreakBefore w:val="0"/>
              <w:widowControl/>
              <w:kinsoku w:val="0"/>
              <w:wordWrap/>
              <w:overflowPunct/>
              <w:topLinePunct w:val="0"/>
              <w:autoSpaceDE w:val="0"/>
              <w:autoSpaceDN w:val="0"/>
              <w:bidi w:val="0"/>
              <w:adjustRightInd w:val="0"/>
              <w:snapToGrid w:val="0"/>
              <w:spacing w:before="243"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14346</w:t>
            </w:r>
          </w:p>
        </w:tc>
        <w:tc>
          <w:tcPr>
            <w:tcW w:w="1204" w:type="dxa"/>
            <w:vMerge w:val="restart"/>
            <w:tcBorders>
              <w:bottom w:val="nil"/>
            </w:tcBorders>
            <w:vAlign w:val="top"/>
          </w:tcPr>
          <w:p w14:paraId="1C120759">
            <w:pPr>
              <w:keepNext w:val="0"/>
              <w:keepLines w:val="0"/>
              <w:pageBreakBefore w:val="0"/>
              <w:widowControl/>
              <w:kinsoku w:val="0"/>
              <w:wordWrap/>
              <w:overflowPunct/>
              <w:topLinePunct w:val="0"/>
              <w:autoSpaceDE w:val="0"/>
              <w:autoSpaceDN w:val="0"/>
              <w:bidi w:val="0"/>
              <w:adjustRightInd w:val="0"/>
              <w:snapToGrid w:val="0"/>
              <w:spacing w:before="243" w:line="240" w:lineRule="auto"/>
              <w:ind w:left="31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4.112</w:t>
            </w:r>
          </w:p>
        </w:tc>
        <w:tc>
          <w:tcPr>
            <w:tcW w:w="1269" w:type="dxa"/>
            <w:vMerge w:val="restart"/>
            <w:tcBorders>
              <w:bottom w:val="nil"/>
            </w:tcBorders>
            <w:vAlign w:val="top"/>
          </w:tcPr>
          <w:p w14:paraId="6D7F4CFD">
            <w:pPr>
              <w:keepNext w:val="0"/>
              <w:keepLines w:val="0"/>
              <w:pageBreakBefore w:val="0"/>
              <w:widowControl/>
              <w:kinsoku w:val="0"/>
              <w:wordWrap/>
              <w:overflowPunct/>
              <w:topLinePunct w:val="0"/>
              <w:autoSpaceDE w:val="0"/>
              <w:autoSpaceDN w:val="0"/>
              <w:bidi w:val="0"/>
              <w:adjustRightInd w:val="0"/>
              <w:snapToGrid w:val="0"/>
              <w:spacing w:before="243"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8425</w:t>
            </w:r>
          </w:p>
        </w:tc>
      </w:tr>
      <w:tr w14:paraId="55FCD4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07B0FD8D">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6.80</w:t>
            </w:r>
          </w:p>
        </w:tc>
        <w:tc>
          <w:tcPr>
            <w:tcW w:w="1176" w:type="dxa"/>
            <w:vMerge w:val="restart"/>
            <w:tcBorders>
              <w:bottom w:val="nil"/>
            </w:tcBorders>
            <w:vAlign w:val="top"/>
          </w:tcPr>
          <w:p w14:paraId="493122FE">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6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3.31</w:t>
            </w:r>
          </w:p>
        </w:tc>
        <w:tc>
          <w:tcPr>
            <w:tcW w:w="1201" w:type="dxa"/>
            <w:vMerge w:val="continue"/>
            <w:tcBorders>
              <w:top w:val="nil"/>
            </w:tcBorders>
            <w:vAlign w:val="top"/>
          </w:tcPr>
          <w:p w14:paraId="1AE237D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7231B3A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011BE87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30151A5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2823942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2441C2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continue"/>
            <w:tcBorders>
              <w:top w:val="nil"/>
            </w:tcBorders>
            <w:vAlign w:val="top"/>
          </w:tcPr>
          <w:p w14:paraId="6DA19AC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044A43D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4AE513E6">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2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3.158</w:t>
            </w:r>
          </w:p>
        </w:tc>
        <w:tc>
          <w:tcPr>
            <w:tcW w:w="1176" w:type="dxa"/>
            <w:vMerge w:val="restart"/>
            <w:tcBorders>
              <w:bottom w:val="nil"/>
            </w:tcBorders>
            <w:vAlign w:val="top"/>
          </w:tcPr>
          <w:p w14:paraId="38279E81">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6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4995</w:t>
            </w:r>
          </w:p>
        </w:tc>
        <w:tc>
          <w:tcPr>
            <w:tcW w:w="1264" w:type="dxa"/>
            <w:vMerge w:val="restart"/>
            <w:tcBorders>
              <w:bottom w:val="nil"/>
            </w:tcBorders>
            <w:vAlign w:val="top"/>
          </w:tcPr>
          <w:p w14:paraId="43952BDD">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13420</w:t>
            </w:r>
          </w:p>
        </w:tc>
        <w:tc>
          <w:tcPr>
            <w:tcW w:w="1204" w:type="dxa"/>
            <w:vMerge w:val="restart"/>
            <w:tcBorders>
              <w:bottom w:val="nil"/>
            </w:tcBorders>
            <w:vAlign w:val="top"/>
          </w:tcPr>
          <w:p w14:paraId="7E27D573">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2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3.635</w:t>
            </w:r>
          </w:p>
        </w:tc>
        <w:tc>
          <w:tcPr>
            <w:tcW w:w="1269" w:type="dxa"/>
            <w:vMerge w:val="restart"/>
            <w:tcBorders>
              <w:bottom w:val="nil"/>
            </w:tcBorders>
            <w:vAlign w:val="top"/>
          </w:tcPr>
          <w:p w14:paraId="4E0D31A0">
            <w:pPr>
              <w:keepNext w:val="0"/>
              <w:keepLines w:val="0"/>
              <w:pageBreakBefore w:val="0"/>
              <w:widowControl/>
              <w:kinsoku w:val="0"/>
              <w:wordWrap/>
              <w:overflowPunct/>
              <w:topLinePunct w:val="0"/>
              <w:autoSpaceDE w:val="0"/>
              <w:autoSpaceDN w:val="0"/>
              <w:bidi w:val="0"/>
              <w:adjustRightInd w:val="0"/>
              <w:snapToGrid w:val="0"/>
              <w:spacing w:before="241"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8185</w:t>
            </w:r>
          </w:p>
        </w:tc>
      </w:tr>
      <w:tr w14:paraId="719B77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64BD07C6">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7.20</w:t>
            </w:r>
          </w:p>
        </w:tc>
        <w:tc>
          <w:tcPr>
            <w:tcW w:w="1176" w:type="dxa"/>
            <w:vMerge w:val="restart"/>
            <w:tcBorders>
              <w:bottom w:val="nil"/>
            </w:tcBorders>
            <w:vAlign w:val="top"/>
          </w:tcPr>
          <w:p w14:paraId="6F4E9EAD">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6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3.00</w:t>
            </w:r>
          </w:p>
        </w:tc>
        <w:tc>
          <w:tcPr>
            <w:tcW w:w="1201" w:type="dxa"/>
            <w:vMerge w:val="continue"/>
            <w:tcBorders>
              <w:top w:val="nil"/>
            </w:tcBorders>
            <w:vAlign w:val="top"/>
          </w:tcPr>
          <w:p w14:paraId="26A893E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6409775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5A78EAF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22F107D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3A0AF91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26FA92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7B6F242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138D4F5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497F87E8">
            <w:pPr>
              <w:keepNext w:val="0"/>
              <w:keepLines w:val="0"/>
              <w:pageBreakBefore w:val="0"/>
              <w:widowControl/>
              <w:kinsoku w:val="0"/>
              <w:wordWrap/>
              <w:overflowPunct/>
              <w:topLinePunct w:val="0"/>
              <w:autoSpaceDE w:val="0"/>
              <w:autoSpaceDN w:val="0"/>
              <w:bidi w:val="0"/>
              <w:adjustRightInd w:val="0"/>
              <w:snapToGrid w:val="0"/>
              <w:spacing w:before="244" w:line="240" w:lineRule="auto"/>
              <w:ind w:left="31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2.847</w:t>
            </w:r>
          </w:p>
        </w:tc>
        <w:tc>
          <w:tcPr>
            <w:tcW w:w="1176" w:type="dxa"/>
            <w:vMerge w:val="restart"/>
            <w:tcBorders>
              <w:bottom w:val="nil"/>
            </w:tcBorders>
            <w:vAlign w:val="top"/>
          </w:tcPr>
          <w:p w14:paraId="789720A8">
            <w:pPr>
              <w:keepNext w:val="0"/>
              <w:keepLines w:val="0"/>
              <w:pageBreakBefore w:val="0"/>
              <w:widowControl/>
              <w:kinsoku w:val="0"/>
              <w:wordWrap/>
              <w:overflowPunct/>
              <w:topLinePunct w:val="0"/>
              <w:autoSpaceDE w:val="0"/>
              <w:autoSpaceDN w:val="0"/>
              <w:bidi w:val="0"/>
              <w:adjustRightInd w:val="0"/>
              <w:snapToGrid w:val="0"/>
              <w:spacing w:before="244" w:line="240" w:lineRule="auto"/>
              <w:ind w:left="36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4547</w:t>
            </w:r>
          </w:p>
        </w:tc>
        <w:tc>
          <w:tcPr>
            <w:tcW w:w="1264" w:type="dxa"/>
            <w:vMerge w:val="restart"/>
            <w:tcBorders>
              <w:bottom w:val="nil"/>
            </w:tcBorders>
            <w:vAlign w:val="top"/>
          </w:tcPr>
          <w:p w14:paraId="0A94FCED">
            <w:pPr>
              <w:keepNext w:val="0"/>
              <w:keepLines w:val="0"/>
              <w:pageBreakBefore w:val="0"/>
              <w:widowControl/>
              <w:kinsoku w:val="0"/>
              <w:wordWrap/>
              <w:overflowPunct/>
              <w:topLinePunct w:val="0"/>
              <w:autoSpaceDE w:val="0"/>
              <w:autoSpaceDN w:val="0"/>
              <w:bidi w:val="0"/>
              <w:adjustRightInd w:val="0"/>
              <w:snapToGrid w:val="0"/>
              <w:spacing w:before="244"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12732</w:t>
            </w:r>
          </w:p>
        </w:tc>
        <w:tc>
          <w:tcPr>
            <w:tcW w:w="1204" w:type="dxa"/>
            <w:vMerge w:val="restart"/>
            <w:tcBorders>
              <w:bottom w:val="nil"/>
            </w:tcBorders>
            <w:vAlign w:val="top"/>
          </w:tcPr>
          <w:p w14:paraId="47A272DD">
            <w:pPr>
              <w:keepNext w:val="0"/>
              <w:keepLines w:val="0"/>
              <w:pageBreakBefore w:val="0"/>
              <w:widowControl/>
              <w:kinsoku w:val="0"/>
              <w:wordWrap/>
              <w:overflowPunct/>
              <w:topLinePunct w:val="0"/>
              <w:autoSpaceDE w:val="0"/>
              <w:autoSpaceDN w:val="0"/>
              <w:bidi w:val="0"/>
              <w:adjustRightInd w:val="0"/>
              <w:snapToGrid w:val="0"/>
              <w:spacing w:before="244" w:line="240" w:lineRule="auto"/>
              <w:ind w:left="32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3.192</w:t>
            </w:r>
          </w:p>
        </w:tc>
        <w:tc>
          <w:tcPr>
            <w:tcW w:w="1269" w:type="dxa"/>
            <w:vMerge w:val="restart"/>
            <w:tcBorders>
              <w:bottom w:val="nil"/>
            </w:tcBorders>
            <w:vAlign w:val="top"/>
          </w:tcPr>
          <w:p w14:paraId="588C0E62">
            <w:pPr>
              <w:keepNext w:val="0"/>
              <w:keepLines w:val="0"/>
              <w:pageBreakBefore w:val="0"/>
              <w:widowControl/>
              <w:kinsoku w:val="0"/>
              <w:wordWrap/>
              <w:overflowPunct/>
              <w:topLinePunct w:val="0"/>
              <w:autoSpaceDE w:val="0"/>
              <w:autoSpaceDN w:val="0"/>
              <w:bidi w:val="0"/>
              <w:adjustRightInd w:val="0"/>
              <w:snapToGrid w:val="0"/>
              <w:spacing w:before="244"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8136</w:t>
            </w:r>
          </w:p>
        </w:tc>
      </w:tr>
      <w:tr w14:paraId="466CB7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1125" w:type="dxa"/>
            <w:vAlign w:val="top"/>
          </w:tcPr>
          <w:p w14:paraId="74C81886">
            <w:pPr>
              <w:keepNext w:val="0"/>
              <w:keepLines w:val="0"/>
              <w:pageBreakBefore w:val="0"/>
              <w:widowControl/>
              <w:kinsoku w:val="0"/>
              <w:wordWrap/>
              <w:overflowPunct/>
              <w:topLinePunct w:val="0"/>
              <w:autoSpaceDE w:val="0"/>
              <w:autoSpaceDN w:val="0"/>
              <w:bidi w:val="0"/>
              <w:adjustRightInd w:val="0"/>
              <w:snapToGrid w:val="0"/>
              <w:spacing w:before="78" w:line="240" w:lineRule="auto"/>
              <w:ind w:left="3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7.60</w:t>
            </w:r>
          </w:p>
        </w:tc>
        <w:tc>
          <w:tcPr>
            <w:tcW w:w="1176" w:type="dxa"/>
            <w:vAlign w:val="top"/>
          </w:tcPr>
          <w:p w14:paraId="092C0FD1">
            <w:pPr>
              <w:keepNext w:val="0"/>
              <w:keepLines w:val="0"/>
              <w:pageBreakBefore w:val="0"/>
              <w:widowControl/>
              <w:kinsoku w:val="0"/>
              <w:wordWrap/>
              <w:overflowPunct/>
              <w:topLinePunct w:val="0"/>
              <w:autoSpaceDE w:val="0"/>
              <w:autoSpaceDN w:val="0"/>
              <w:bidi w:val="0"/>
              <w:adjustRightInd w:val="0"/>
              <w:snapToGrid w:val="0"/>
              <w:spacing w:before="78" w:line="240" w:lineRule="auto"/>
              <w:ind w:left="35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2.69</w:t>
            </w:r>
          </w:p>
        </w:tc>
        <w:tc>
          <w:tcPr>
            <w:tcW w:w="1201" w:type="dxa"/>
            <w:vMerge w:val="continue"/>
            <w:tcBorders>
              <w:top w:val="nil"/>
            </w:tcBorders>
            <w:vAlign w:val="top"/>
          </w:tcPr>
          <w:p w14:paraId="459B0BA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05C37B2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575087B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3172D2A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0A3F0DB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60095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Align w:val="top"/>
          </w:tcPr>
          <w:p w14:paraId="714A78D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Align w:val="top"/>
          </w:tcPr>
          <w:p w14:paraId="2F8AF5D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1540DC82">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1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2.536</w:t>
            </w:r>
          </w:p>
        </w:tc>
        <w:tc>
          <w:tcPr>
            <w:tcW w:w="1176" w:type="dxa"/>
            <w:vMerge w:val="restart"/>
            <w:tcBorders>
              <w:bottom w:val="nil"/>
            </w:tcBorders>
            <w:vAlign w:val="top"/>
          </w:tcPr>
          <w:p w14:paraId="11EA7A07">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6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4099</w:t>
            </w:r>
          </w:p>
        </w:tc>
        <w:tc>
          <w:tcPr>
            <w:tcW w:w="1264" w:type="dxa"/>
            <w:vMerge w:val="restart"/>
            <w:tcBorders>
              <w:bottom w:val="nil"/>
            </w:tcBorders>
            <w:vAlign w:val="top"/>
          </w:tcPr>
          <w:p w14:paraId="5A8E2A31">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12235</w:t>
            </w:r>
          </w:p>
        </w:tc>
        <w:tc>
          <w:tcPr>
            <w:tcW w:w="1204" w:type="dxa"/>
            <w:vMerge w:val="restart"/>
            <w:tcBorders>
              <w:bottom w:val="nil"/>
            </w:tcBorders>
            <w:vAlign w:val="top"/>
          </w:tcPr>
          <w:p w14:paraId="07977F67">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2.871</w:t>
            </w:r>
          </w:p>
        </w:tc>
        <w:tc>
          <w:tcPr>
            <w:tcW w:w="1269" w:type="dxa"/>
            <w:vMerge w:val="restart"/>
            <w:tcBorders>
              <w:bottom w:val="nil"/>
            </w:tcBorders>
            <w:vAlign w:val="top"/>
          </w:tcPr>
          <w:p w14:paraId="677CFA52">
            <w:pPr>
              <w:keepNext w:val="0"/>
              <w:keepLines w:val="0"/>
              <w:pageBreakBefore w:val="0"/>
              <w:widowControl/>
              <w:kinsoku w:val="0"/>
              <w:wordWrap/>
              <w:overflowPunct/>
              <w:topLinePunct w:val="0"/>
              <w:autoSpaceDE w:val="0"/>
              <w:autoSpaceDN w:val="0"/>
              <w:bidi w:val="0"/>
              <w:adjustRightInd w:val="0"/>
              <w:snapToGrid w:val="0"/>
              <w:spacing w:before="239"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8100</w:t>
            </w:r>
          </w:p>
        </w:tc>
      </w:tr>
      <w:tr w14:paraId="2D62AB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478C2A8A">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8.00</w:t>
            </w:r>
          </w:p>
        </w:tc>
        <w:tc>
          <w:tcPr>
            <w:tcW w:w="1176" w:type="dxa"/>
            <w:vMerge w:val="restart"/>
            <w:tcBorders>
              <w:bottom w:val="nil"/>
            </w:tcBorders>
            <w:vAlign w:val="top"/>
          </w:tcPr>
          <w:p w14:paraId="462288D3">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5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2.38</w:t>
            </w:r>
          </w:p>
        </w:tc>
        <w:tc>
          <w:tcPr>
            <w:tcW w:w="1201" w:type="dxa"/>
            <w:vMerge w:val="continue"/>
            <w:tcBorders>
              <w:top w:val="nil"/>
            </w:tcBorders>
            <w:vAlign w:val="top"/>
          </w:tcPr>
          <w:p w14:paraId="06BE6BD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64C9F4E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3E87B3B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0B677F7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24A96EE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06AEE6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continue"/>
            <w:tcBorders>
              <w:top w:val="nil"/>
            </w:tcBorders>
            <w:vAlign w:val="top"/>
          </w:tcPr>
          <w:p w14:paraId="7A81239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2DA9DE6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3C3690AC">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1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2.225</w:t>
            </w:r>
          </w:p>
        </w:tc>
        <w:tc>
          <w:tcPr>
            <w:tcW w:w="1176" w:type="dxa"/>
            <w:vMerge w:val="restart"/>
            <w:tcBorders>
              <w:bottom w:val="nil"/>
            </w:tcBorders>
            <w:vAlign w:val="top"/>
          </w:tcPr>
          <w:p w14:paraId="1B7A8B52">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7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3651</w:t>
            </w:r>
          </w:p>
        </w:tc>
        <w:tc>
          <w:tcPr>
            <w:tcW w:w="1264" w:type="dxa"/>
            <w:vMerge w:val="restart"/>
            <w:tcBorders>
              <w:bottom w:val="nil"/>
            </w:tcBorders>
            <w:vAlign w:val="top"/>
          </w:tcPr>
          <w:p w14:paraId="46E9478F">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11751</w:t>
            </w:r>
          </w:p>
        </w:tc>
        <w:tc>
          <w:tcPr>
            <w:tcW w:w="1204" w:type="dxa"/>
            <w:vMerge w:val="restart"/>
            <w:tcBorders>
              <w:bottom w:val="nil"/>
            </w:tcBorders>
            <w:vAlign w:val="top"/>
          </w:tcPr>
          <w:p w14:paraId="7D8A7B2E">
            <w:pPr>
              <w:keepNext w:val="0"/>
              <w:keepLines w:val="0"/>
              <w:pageBreakBefore w:val="0"/>
              <w:widowControl/>
              <w:kinsoku w:val="0"/>
              <w:wordWrap/>
              <w:overflowPunct/>
              <w:topLinePunct w:val="0"/>
              <w:autoSpaceDE w:val="0"/>
              <w:autoSpaceDN w:val="0"/>
              <w:bidi w:val="0"/>
              <w:adjustRightInd w:val="0"/>
              <w:snapToGrid w:val="0"/>
              <w:spacing w:before="236" w:line="240" w:lineRule="auto"/>
              <w:ind w:left="3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2.560</w:t>
            </w:r>
          </w:p>
        </w:tc>
        <w:tc>
          <w:tcPr>
            <w:tcW w:w="1269" w:type="dxa"/>
            <w:vMerge w:val="restart"/>
            <w:tcBorders>
              <w:bottom w:val="nil"/>
            </w:tcBorders>
            <w:vAlign w:val="top"/>
          </w:tcPr>
          <w:p w14:paraId="3DF33AEC">
            <w:pPr>
              <w:keepNext w:val="0"/>
              <w:keepLines w:val="0"/>
              <w:pageBreakBefore w:val="0"/>
              <w:widowControl/>
              <w:kinsoku w:val="0"/>
              <w:wordWrap/>
              <w:overflowPunct/>
              <w:topLinePunct w:val="0"/>
              <w:autoSpaceDE w:val="0"/>
              <w:autoSpaceDN w:val="0"/>
              <w:bidi w:val="0"/>
              <w:adjustRightInd w:val="0"/>
              <w:snapToGrid w:val="0"/>
              <w:spacing w:before="236"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8065</w:t>
            </w:r>
          </w:p>
        </w:tc>
      </w:tr>
      <w:tr w14:paraId="62B2CE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18B36F75">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8.40</w:t>
            </w:r>
          </w:p>
        </w:tc>
        <w:tc>
          <w:tcPr>
            <w:tcW w:w="1176" w:type="dxa"/>
            <w:vMerge w:val="restart"/>
            <w:tcBorders>
              <w:bottom w:val="nil"/>
            </w:tcBorders>
            <w:vAlign w:val="top"/>
          </w:tcPr>
          <w:p w14:paraId="0DB1EFB3">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5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2.07</w:t>
            </w:r>
          </w:p>
        </w:tc>
        <w:tc>
          <w:tcPr>
            <w:tcW w:w="1201" w:type="dxa"/>
            <w:vMerge w:val="continue"/>
            <w:tcBorders>
              <w:top w:val="nil"/>
            </w:tcBorders>
            <w:vAlign w:val="top"/>
          </w:tcPr>
          <w:p w14:paraId="52C8A00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4AD4D48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6540A17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618F588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500657D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5AA3D7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5F13AF7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265C8D3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302E0560">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2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1.914</w:t>
            </w:r>
          </w:p>
        </w:tc>
        <w:tc>
          <w:tcPr>
            <w:tcW w:w="1176" w:type="dxa"/>
            <w:vMerge w:val="restart"/>
            <w:tcBorders>
              <w:bottom w:val="nil"/>
            </w:tcBorders>
            <w:vAlign w:val="top"/>
          </w:tcPr>
          <w:p w14:paraId="2D2126D7">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7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3203</w:t>
            </w:r>
          </w:p>
        </w:tc>
        <w:tc>
          <w:tcPr>
            <w:tcW w:w="1264" w:type="dxa"/>
            <w:vMerge w:val="restart"/>
            <w:tcBorders>
              <w:bottom w:val="nil"/>
            </w:tcBorders>
            <w:vAlign w:val="top"/>
          </w:tcPr>
          <w:p w14:paraId="0C79180C">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11268</w:t>
            </w:r>
          </w:p>
        </w:tc>
        <w:tc>
          <w:tcPr>
            <w:tcW w:w="1204" w:type="dxa"/>
            <w:vMerge w:val="restart"/>
            <w:tcBorders>
              <w:bottom w:val="nil"/>
            </w:tcBorders>
            <w:vAlign w:val="top"/>
          </w:tcPr>
          <w:p w14:paraId="64EACA61">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2.249</w:t>
            </w:r>
          </w:p>
        </w:tc>
        <w:tc>
          <w:tcPr>
            <w:tcW w:w="1269" w:type="dxa"/>
            <w:vMerge w:val="restart"/>
            <w:tcBorders>
              <w:bottom w:val="nil"/>
            </w:tcBorders>
            <w:vAlign w:val="top"/>
          </w:tcPr>
          <w:p w14:paraId="61FD2459">
            <w:pPr>
              <w:keepNext w:val="0"/>
              <w:keepLines w:val="0"/>
              <w:pageBreakBefore w:val="0"/>
              <w:widowControl/>
              <w:kinsoku w:val="0"/>
              <w:wordWrap/>
              <w:overflowPunct/>
              <w:topLinePunct w:val="0"/>
              <w:autoSpaceDE w:val="0"/>
              <w:autoSpaceDN w:val="0"/>
              <w:bidi w:val="0"/>
              <w:adjustRightInd w:val="0"/>
              <w:snapToGrid w:val="0"/>
              <w:spacing w:before="240"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8030</w:t>
            </w:r>
          </w:p>
        </w:tc>
      </w:tr>
      <w:tr w14:paraId="07E12B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3E2C2268">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8.80</w:t>
            </w:r>
          </w:p>
        </w:tc>
        <w:tc>
          <w:tcPr>
            <w:tcW w:w="1176" w:type="dxa"/>
            <w:vMerge w:val="restart"/>
            <w:tcBorders>
              <w:bottom w:val="nil"/>
            </w:tcBorders>
            <w:vAlign w:val="top"/>
          </w:tcPr>
          <w:p w14:paraId="780ADF8F">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1.76</w:t>
            </w:r>
          </w:p>
        </w:tc>
        <w:tc>
          <w:tcPr>
            <w:tcW w:w="1201" w:type="dxa"/>
            <w:vMerge w:val="continue"/>
            <w:tcBorders>
              <w:top w:val="nil"/>
            </w:tcBorders>
            <w:vAlign w:val="top"/>
          </w:tcPr>
          <w:p w14:paraId="70F920E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1916A67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6E91610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2A14A93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2DEB348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23F782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continue"/>
            <w:tcBorders>
              <w:top w:val="nil"/>
            </w:tcBorders>
            <w:vAlign w:val="top"/>
          </w:tcPr>
          <w:p w14:paraId="609616C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08450FD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100554E1">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2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1.603</w:t>
            </w:r>
          </w:p>
        </w:tc>
        <w:tc>
          <w:tcPr>
            <w:tcW w:w="1176" w:type="dxa"/>
            <w:vMerge w:val="restart"/>
            <w:tcBorders>
              <w:bottom w:val="nil"/>
            </w:tcBorders>
            <w:vAlign w:val="top"/>
          </w:tcPr>
          <w:p w14:paraId="55533F3D">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6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2755</w:t>
            </w:r>
          </w:p>
        </w:tc>
        <w:tc>
          <w:tcPr>
            <w:tcW w:w="1264" w:type="dxa"/>
            <w:vMerge w:val="restart"/>
            <w:tcBorders>
              <w:bottom w:val="nil"/>
            </w:tcBorders>
            <w:vAlign w:val="top"/>
          </w:tcPr>
          <w:p w14:paraId="5106B5A4">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5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10786</w:t>
            </w:r>
          </w:p>
        </w:tc>
        <w:tc>
          <w:tcPr>
            <w:tcW w:w="1204" w:type="dxa"/>
            <w:vMerge w:val="restart"/>
            <w:tcBorders>
              <w:bottom w:val="nil"/>
            </w:tcBorders>
            <w:vAlign w:val="top"/>
          </w:tcPr>
          <w:p w14:paraId="64BEC598">
            <w:pPr>
              <w:keepNext w:val="0"/>
              <w:keepLines w:val="0"/>
              <w:pageBreakBefore w:val="0"/>
              <w:widowControl/>
              <w:kinsoku w:val="0"/>
              <w:wordWrap/>
              <w:overflowPunct/>
              <w:topLinePunct w:val="0"/>
              <w:autoSpaceDE w:val="0"/>
              <w:autoSpaceDN w:val="0"/>
              <w:bidi w:val="0"/>
              <w:adjustRightInd w:val="0"/>
              <w:snapToGrid w:val="0"/>
              <w:spacing w:before="237" w:line="240" w:lineRule="auto"/>
              <w:ind w:left="3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2.199</w:t>
            </w:r>
          </w:p>
        </w:tc>
        <w:tc>
          <w:tcPr>
            <w:tcW w:w="1269" w:type="dxa"/>
            <w:vMerge w:val="restart"/>
            <w:tcBorders>
              <w:bottom w:val="nil"/>
            </w:tcBorders>
            <w:vAlign w:val="top"/>
          </w:tcPr>
          <w:p w14:paraId="00F47330">
            <w:pPr>
              <w:keepNext w:val="0"/>
              <w:keepLines w:val="0"/>
              <w:pageBreakBefore w:val="0"/>
              <w:widowControl/>
              <w:kinsoku w:val="0"/>
              <w:wordWrap/>
              <w:overflowPunct/>
              <w:topLinePunct w:val="0"/>
              <w:autoSpaceDE w:val="0"/>
              <w:autoSpaceDN w:val="0"/>
              <w:bidi w:val="0"/>
              <w:adjustRightInd w:val="0"/>
              <w:snapToGrid w:val="0"/>
              <w:spacing w:before="237"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7619</w:t>
            </w:r>
          </w:p>
        </w:tc>
      </w:tr>
      <w:tr w14:paraId="79B416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4F685EF5">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9.20</w:t>
            </w:r>
          </w:p>
        </w:tc>
        <w:tc>
          <w:tcPr>
            <w:tcW w:w="1176" w:type="dxa"/>
            <w:vMerge w:val="restart"/>
            <w:tcBorders>
              <w:bottom w:val="nil"/>
            </w:tcBorders>
            <w:vAlign w:val="top"/>
          </w:tcPr>
          <w:p w14:paraId="4968754E">
            <w:pPr>
              <w:keepNext w:val="0"/>
              <w:keepLines w:val="0"/>
              <w:pageBreakBefore w:val="0"/>
              <w:widowControl/>
              <w:kinsoku w:val="0"/>
              <w:wordWrap/>
              <w:overflowPunct/>
              <w:topLinePunct w:val="0"/>
              <w:autoSpaceDE w:val="0"/>
              <w:autoSpaceDN w:val="0"/>
              <w:bidi w:val="0"/>
              <w:adjustRightInd w:val="0"/>
              <w:snapToGrid w:val="0"/>
              <w:spacing w:before="238" w:line="240" w:lineRule="auto"/>
              <w:ind w:left="3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1.45</w:t>
            </w:r>
          </w:p>
        </w:tc>
        <w:tc>
          <w:tcPr>
            <w:tcW w:w="1201" w:type="dxa"/>
            <w:vMerge w:val="continue"/>
            <w:tcBorders>
              <w:top w:val="nil"/>
            </w:tcBorders>
            <w:vAlign w:val="top"/>
          </w:tcPr>
          <w:p w14:paraId="29815B9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0ADB686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0B2B519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52CA786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1892737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42B0FB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3B86A02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47979F2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3DA77876">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2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1.292</w:t>
            </w:r>
          </w:p>
        </w:tc>
        <w:tc>
          <w:tcPr>
            <w:tcW w:w="1176" w:type="dxa"/>
            <w:vMerge w:val="restart"/>
            <w:tcBorders>
              <w:bottom w:val="nil"/>
            </w:tcBorders>
            <w:vAlign w:val="top"/>
          </w:tcPr>
          <w:p w14:paraId="1A38379A">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6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2308</w:t>
            </w:r>
          </w:p>
        </w:tc>
        <w:tc>
          <w:tcPr>
            <w:tcW w:w="1264" w:type="dxa"/>
            <w:vMerge w:val="restart"/>
            <w:tcBorders>
              <w:bottom w:val="nil"/>
            </w:tcBorders>
            <w:vAlign w:val="top"/>
          </w:tcPr>
          <w:p w14:paraId="7447AF52">
            <w:pPr>
              <w:keepNext w:val="0"/>
              <w:keepLines w:val="0"/>
              <w:pageBreakBefore w:val="0"/>
              <w:widowControl/>
              <w:kinsoku w:val="0"/>
              <w:wordWrap/>
              <w:overflowPunct/>
              <w:topLinePunct w:val="0"/>
              <w:autoSpaceDE w:val="0"/>
              <w:autoSpaceDN w:val="0"/>
              <w:bidi w:val="0"/>
              <w:adjustRightInd w:val="0"/>
              <w:snapToGrid w:val="0"/>
              <w:spacing w:before="241"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9927</w:t>
            </w:r>
          </w:p>
        </w:tc>
        <w:tc>
          <w:tcPr>
            <w:tcW w:w="1204" w:type="dxa"/>
            <w:vMerge w:val="restart"/>
            <w:tcBorders>
              <w:bottom w:val="nil"/>
            </w:tcBorders>
            <w:vAlign w:val="top"/>
          </w:tcPr>
          <w:p w14:paraId="0649A522">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2.174</w:t>
            </w:r>
          </w:p>
        </w:tc>
        <w:tc>
          <w:tcPr>
            <w:tcW w:w="1269" w:type="dxa"/>
            <w:vMerge w:val="restart"/>
            <w:tcBorders>
              <w:bottom w:val="nil"/>
            </w:tcBorders>
            <w:vAlign w:val="top"/>
          </w:tcPr>
          <w:p w14:paraId="7AF03F98">
            <w:pPr>
              <w:keepNext w:val="0"/>
              <w:keepLines w:val="0"/>
              <w:pageBreakBefore w:val="0"/>
              <w:widowControl/>
              <w:kinsoku w:val="0"/>
              <w:wordWrap/>
              <w:overflowPunct/>
              <w:topLinePunct w:val="0"/>
              <w:autoSpaceDE w:val="0"/>
              <w:autoSpaceDN w:val="0"/>
              <w:bidi w:val="0"/>
              <w:adjustRightInd w:val="0"/>
              <w:snapToGrid w:val="0"/>
              <w:spacing w:before="241"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6796</w:t>
            </w:r>
          </w:p>
        </w:tc>
      </w:tr>
      <w:tr w14:paraId="62ED1B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2BCDECF0">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3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9.60</w:t>
            </w:r>
          </w:p>
        </w:tc>
        <w:tc>
          <w:tcPr>
            <w:tcW w:w="1176" w:type="dxa"/>
            <w:vMerge w:val="restart"/>
            <w:tcBorders>
              <w:bottom w:val="nil"/>
            </w:tcBorders>
            <w:vAlign w:val="top"/>
          </w:tcPr>
          <w:p w14:paraId="30931794">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6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1.14</w:t>
            </w:r>
          </w:p>
        </w:tc>
        <w:tc>
          <w:tcPr>
            <w:tcW w:w="1201" w:type="dxa"/>
            <w:vMerge w:val="continue"/>
            <w:tcBorders>
              <w:top w:val="nil"/>
            </w:tcBorders>
            <w:vAlign w:val="top"/>
          </w:tcPr>
          <w:p w14:paraId="382658E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79CAD44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0D62422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559FA76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3B24166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4E51F2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continue"/>
            <w:tcBorders>
              <w:top w:val="nil"/>
            </w:tcBorders>
            <w:vAlign w:val="top"/>
          </w:tcPr>
          <w:p w14:paraId="72C52FE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01DE26A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7C0FDE92">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0.981</w:t>
            </w:r>
          </w:p>
        </w:tc>
        <w:tc>
          <w:tcPr>
            <w:tcW w:w="1176" w:type="dxa"/>
            <w:vMerge w:val="restart"/>
            <w:tcBorders>
              <w:bottom w:val="nil"/>
            </w:tcBorders>
            <w:vAlign w:val="top"/>
          </w:tcPr>
          <w:p w14:paraId="2B1DB3A9">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7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1860</w:t>
            </w:r>
          </w:p>
        </w:tc>
        <w:tc>
          <w:tcPr>
            <w:tcW w:w="1264" w:type="dxa"/>
            <w:vMerge w:val="restart"/>
            <w:tcBorders>
              <w:bottom w:val="nil"/>
            </w:tcBorders>
            <w:vAlign w:val="top"/>
          </w:tcPr>
          <w:p w14:paraId="4AEB1C65">
            <w:pPr>
              <w:keepNext w:val="0"/>
              <w:keepLines w:val="0"/>
              <w:pageBreakBefore w:val="0"/>
              <w:widowControl/>
              <w:kinsoku w:val="0"/>
              <w:wordWrap/>
              <w:overflowPunct/>
              <w:topLinePunct w:val="0"/>
              <w:autoSpaceDE w:val="0"/>
              <w:autoSpaceDN w:val="0"/>
              <w:bidi w:val="0"/>
              <w:adjustRightInd w:val="0"/>
              <w:snapToGrid w:val="0"/>
              <w:spacing w:before="239"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8656</w:t>
            </w:r>
          </w:p>
        </w:tc>
        <w:tc>
          <w:tcPr>
            <w:tcW w:w="1204" w:type="dxa"/>
            <w:vMerge w:val="restart"/>
            <w:tcBorders>
              <w:bottom w:val="nil"/>
            </w:tcBorders>
            <w:vAlign w:val="top"/>
          </w:tcPr>
          <w:p w14:paraId="640C0DC3">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2.133</w:t>
            </w:r>
          </w:p>
        </w:tc>
        <w:tc>
          <w:tcPr>
            <w:tcW w:w="1269" w:type="dxa"/>
            <w:vMerge w:val="restart"/>
            <w:tcBorders>
              <w:bottom w:val="nil"/>
            </w:tcBorders>
            <w:vAlign w:val="top"/>
          </w:tcPr>
          <w:p w14:paraId="23F15C52">
            <w:pPr>
              <w:keepNext w:val="0"/>
              <w:keepLines w:val="0"/>
              <w:pageBreakBefore w:val="0"/>
              <w:widowControl/>
              <w:kinsoku w:val="0"/>
              <w:wordWrap/>
              <w:overflowPunct/>
              <w:topLinePunct w:val="0"/>
              <w:autoSpaceDE w:val="0"/>
              <w:autoSpaceDN w:val="0"/>
              <w:bidi w:val="0"/>
              <w:adjustRightInd w:val="0"/>
              <w:snapToGrid w:val="0"/>
              <w:spacing w:before="239" w:line="240" w:lineRule="auto"/>
              <w:ind w:left="41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5584</w:t>
            </w:r>
          </w:p>
        </w:tc>
      </w:tr>
      <w:tr w14:paraId="5EE8C0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09B2AC7D">
            <w:pPr>
              <w:keepNext w:val="0"/>
              <w:keepLines w:val="0"/>
              <w:pageBreakBefore w:val="0"/>
              <w:widowControl/>
              <w:kinsoku w:val="0"/>
              <w:wordWrap/>
              <w:overflowPunct/>
              <w:topLinePunct w:val="0"/>
              <w:autoSpaceDE w:val="0"/>
              <w:autoSpaceDN w:val="0"/>
              <w:bidi w:val="0"/>
              <w:adjustRightInd w:val="0"/>
              <w:snapToGrid w:val="0"/>
              <w:spacing w:before="239" w:line="240" w:lineRule="auto"/>
              <w:ind w:left="2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10.00</w:t>
            </w:r>
          </w:p>
        </w:tc>
        <w:tc>
          <w:tcPr>
            <w:tcW w:w="1176" w:type="dxa"/>
            <w:vMerge w:val="restart"/>
            <w:tcBorders>
              <w:bottom w:val="nil"/>
            </w:tcBorders>
            <w:vAlign w:val="top"/>
          </w:tcPr>
          <w:p w14:paraId="4D312F95">
            <w:pPr>
              <w:keepNext w:val="0"/>
              <w:keepLines w:val="0"/>
              <w:pageBreakBefore w:val="0"/>
              <w:widowControl/>
              <w:kinsoku w:val="0"/>
              <w:wordWrap/>
              <w:overflowPunct/>
              <w:topLinePunct w:val="0"/>
              <w:autoSpaceDE w:val="0"/>
              <w:autoSpaceDN w:val="0"/>
              <w:bidi w:val="0"/>
              <w:adjustRightInd w:val="0"/>
              <w:snapToGrid w:val="0"/>
              <w:spacing w:before="239" w:line="240" w:lineRule="auto"/>
              <w:ind w:left="3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0.83</w:t>
            </w:r>
          </w:p>
        </w:tc>
        <w:tc>
          <w:tcPr>
            <w:tcW w:w="1201" w:type="dxa"/>
            <w:vMerge w:val="continue"/>
            <w:tcBorders>
              <w:top w:val="nil"/>
            </w:tcBorders>
            <w:vAlign w:val="top"/>
          </w:tcPr>
          <w:p w14:paraId="1ECB141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7A17B4F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5388238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11D460B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0B1600D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3EABB7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0320668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4F6B9FD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267E0332">
            <w:pPr>
              <w:keepNext w:val="0"/>
              <w:keepLines w:val="0"/>
              <w:pageBreakBefore w:val="0"/>
              <w:widowControl/>
              <w:kinsoku w:val="0"/>
              <w:wordWrap/>
              <w:overflowPunct/>
              <w:topLinePunct w:val="0"/>
              <w:autoSpaceDE w:val="0"/>
              <w:autoSpaceDN w:val="0"/>
              <w:bidi w:val="0"/>
              <w:adjustRightInd w:val="0"/>
              <w:snapToGrid w:val="0"/>
              <w:spacing w:before="242" w:line="240" w:lineRule="auto"/>
              <w:ind w:left="3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0.670</w:t>
            </w:r>
          </w:p>
        </w:tc>
        <w:tc>
          <w:tcPr>
            <w:tcW w:w="1176" w:type="dxa"/>
            <w:vMerge w:val="restart"/>
            <w:tcBorders>
              <w:bottom w:val="nil"/>
            </w:tcBorders>
            <w:vAlign w:val="top"/>
          </w:tcPr>
          <w:p w14:paraId="04FC02C7">
            <w:pPr>
              <w:keepNext w:val="0"/>
              <w:keepLines w:val="0"/>
              <w:pageBreakBefore w:val="0"/>
              <w:widowControl/>
              <w:kinsoku w:val="0"/>
              <w:wordWrap/>
              <w:overflowPunct/>
              <w:topLinePunct w:val="0"/>
              <w:autoSpaceDE w:val="0"/>
              <w:autoSpaceDN w:val="0"/>
              <w:bidi w:val="0"/>
              <w:adjustRightInd w:val="0"/>
              <w:snapToGrid w:val="0"/>
              <w:spacing w:before="242" w:line="240" w:lineRule="auto"/>
              <w:ind w:left="37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1412</w:t>
            </w:r>
          </w:p>
        </w:tc>
        <w:tc>
          <w:tcPr>
            <w:tcW w:w="1264" w:type="dxa"/>
            <w:vMerge w:val="restart"/>
            <w:tcBorders>
              <w:bottom w:val="nil"/>
            </w:tcBorders>
            <w:vAlign w:val="top"/>
          </w:tcPr>
          <w:p w14:paraId="23D3EE30">
            <w:pPr>
              <w:keepNext w:val="0"/>
              <w:keepLines w:val="0"/>
              <w:pageBreakBefore w:val="0"/>
              <w:widowControl/>
              <w:kinsoku w:val="0"/>
              <w:wordWrap/>
              <w:overflowPunct/>
              <w:topLinePunct w:val="0"/>
              <w:autoSpaceDE w:val="0"/>
              <w:autoSpaceDN w:val="0"/>
              <w:bidi w:val="0"/>
              <w:adjustRightInd w:val="0"/>
              <w:snapToGrid w:val="0"/>
              <w:spacing w:before="242" w:line="240" w:lineRule="auto"/>
              <w:ind w:left="40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6996</w:t>
            </w:r>
          </w:p>
        </w:tc>
        <w:tc>
          <w:tcPr>
            <w:tcW w:w="1204" w:type="dxa"/>
            <w:vMerge w:val="restart"/>
            <w:tcBorders>
              <w:bottom w:val="nil"/>
            </w:tcBorders>
            <w:vAlign w:val="top"/>
          </w:tcPr>
          <w:p w14:paraId="07A445A6">
            <w:pPr>
              <w:keepNext w:val="0"/>
              <w:keepLines w:val="0"/>
              <w:pageBreakBefore w:val="0"/>
              <w:widowControl/>
              <w:kinsoku w:val="0"/>
              <w:wordWrap/>
              <w:overflowPunct/>
              <w:topLinePunct w:val="0"/>
              <w:autoSpaceDE w:val="0"/>
              <w:autoSpaceDN w:val="0"/>
              <w:bidi w:val="0"/>
              <w:adjustRightInd w:val="0"/>
              <w:snapToGrid w:val="0"/>
              <w:spacing w:before="242" w:line="240" w:lineRule="auto"/>
              <w:ind w:left="319"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2.073</w:t>
            </w:r>
          </w:p>
        </w:tc>
        <w:tc>
          <w:tcPr>
            <w:tcW w:w="1269" w:type="dxa"/>
            <w:vMerge w:val="restart"/>
            <w:tcBorders>
              <w:bottom w:val="nil"/>
            </w:tcBorders>
            <w:vAlign w:val="top"/>
          </w:tcPr>
          <w:p w14:paraId="613EE594">
            <w:pPr>
              <w:keepNext w:val="0"/>
              <w:keepLines w:val="0"/>
              <w:pageBreakBefore w:val="0"/>
              <w:widowControl/>
              <w:kinsoku w:val="0"/>
              <w:wordWrap/>
              <w:overflowPunct/>
              <w:topLinePunct w:val="0"/>
              <w:autoSpaceDE w:val="0"/>
              <w:autoSpaceDN w:val="0"/>
              <w:bidi w:val="0"/>
              <w:adjustRightInd w:val="0"/>
              <w:snapToGrid w:val="0"/>
              <w:spacing w:before="242" w:line="240" w:lineRule="auto"/>
              <w:ind w:left="40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4011</w:t>
            </w:r>
          </w:p>
        </w:tc>
      </w:tr>
      <w:tr w14:paraId="328083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001206AB">
            <w:pPr>
              <w:keepNext w:val="0"/>
              <w:keepLines w:val="0"/>
              <w:pageBreakBefore w:val="0"/>
              <w:widowControl/>
              <w:kinsoku w:val="0"/>
              <w:wordWrap/>
              <w:overflowPunct/>
              <w:topLinePunct w:val="0"/>
              <w:autoSpaceDE w:val="0"/>
              <w:autoSpaceDN w:val="0"/>
              <w:bidi w:val="0"/>
              <w:adjustRightInd w:val="0"/>
              <w:snapToGrid w:val="0"/>
              <w:spacing w:before="240" w:line="240" w:lineRule="auto"/>
              <w:ind w:left="2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10.40</w:t>
            </w:r>
          </w:p>
        </w:tc>
        <w:tc>
          <w:tcPr>
            <w:tcW w:w="1176" w:type="dxa"/>
            <w:vMerge w:val="restart"/>
            <w:tcBorders>
              <w:bottom w:val="nil"/>
            </w:tcBorders>
            <w:vAlign w:val="top"/>
          </w:tcPr>
          <w:p w14:paraId="5986CE21">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0.51</w:t>
            </w:r>
          </w:p>
        </w:tc>
        <w:tc>
          <w:tcPr>
            <w:tcW w:w="1201" w:type="dxa"/>
            <w:vMerge w:val="continue"/>
            <w:tcBorders>
              <w:top w:val="nil"/>
            </w:tcBorders>
            <w:vAlign w:val="top"/>
          </w:tcPr>
          <w:p w14:paraId="1764916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23407BE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3934EAD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391E050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5516919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516672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continue"/>
            <w:tcBorders>
              <w:top w:val="nil"/>
            </w:tcBorders>
            <w:vAlign w:val="top"/>
          </w:tcPr>
          <w:p w14:paraId="096A6EF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385A7B9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1C4607A1">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0.359</w:t>
            </w:r>
          </w:p>
        </w:tc>
        <w:tc>
          <w:tcPr>
            <w:tcW w:w="1176" w:type="dxa"/>
            <w:vMerge w:val="restart"/>
            <w:tcBorders>
              <w:bottom w:val="nil"/>
            </w:tcBorders>
            <w:vAlign w:val="top"/>
          </w:tcPr>
          <w:p w14:paraId="24FB4CD7">
            <w:pPr>
              <w:keepNext w:val="0"/>
              <w:keepLines w:val="0"/>
              <w:pageBreakBefore w:val="0"/>
              <w:widowControl/>
              <w:kinsoku w:val="0"/>
              <w:wordWrap/>
              <w:overflowPunct/>
              <w:topLinePunct w:val="0"/>
              <w:autoSpaceDE w:val="0"/>
              <w:autoSpaceDN w:val="0"/>
              <w:bidi w:val="0"/>
              <w:adjustRightInd w:val="0"/>
              <w:snapToGrid w:val="0"/>
              <w:spacing w:before="240" w:line="240" w:lineRule="auto"/>
              <w:ind w:left="42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964</w:t>
            </w:r>
          </w:p>
        </w:tc>
        <w:tc>
          <w:tcPr>
            <w:tcW w:w="1264" w:type="dxa"/>
            <w:vMerge w:val="restart"/>
            <w:tcBorders>
              <w:bottom w:val="nil"/>
            </w:tcBorders>
            <w:vAlign w:val="top"/>
          </w:tcPr>
          <w:p w14:paraId="03D3779F">
            <w:pPr>
              <w:keepNext w:val="0"/>
              <w:keepLines w:val="0"/>
              <w:pageBreakBefore w:val="0"/>
              <w:widowControl/>
              <w:kinsoku w:val="0"/>
              <w:wordWrap/>
              <w:overflowPunct/>
              <w:topLinePunct w:val="0"/>
              <w:autoSpaceDE w:val="0"/>
              <w:autoSpaceDN w:val="0"/>
              <w:bidi w:val="0"/>
              <w:adjustRightInd w:val="0"/>
              <w:snapToGrid w:val="0"/>
              <w:spacing w:before="240" w:line="240" w:lineRule="auto"/>
              <w:ind w:left="40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4975</w:t>
            </w:r>
          </w:p>
        </w:tc>
        <w:tc>
          <w:tcPr>
            <w:tcW w:w="1204" w:type="dxa"/>
            <w:vMerge w:val="restart"/>
            <w:tcBorders>
              <w:bottom w:val="nil"/>
            </w:tcBorders>
            <w:vAlign w:val="top"/>
          </w:tcPr>
          <w:p w14:paraId="48EB053D">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2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1.984</w:t>
            </w:r>
          </w:p>
        </w:tc>
        <w:tc>
          <w:tcPr>
            <w:tcW w:w="1269" w:type="dxa"/>
            <w:vMerge w:val="restart"/>
            <w:tcBorders>
              <w:bottom w:val="nil"/>
            </w:tcBorders>
            <w:vAlign w:val="top"/>
          </w:tcPr>
          <w:p w14:paraId="5985E345">
            <w:pPr>
              <w:keepNext w:val="0"/>
              <w:keepLines w:val="0"/>
              <w:pageBreakBefore w:val="0"/>
              <w:widowControl/>
              <w:kinsoku w:val="0"/>
              <w:wordWrap/>
              <w:overflowPunct/>
              <w:topLinePunct w:val="0"/>
              <w:autoSpaceDE w:val="0"/>
              <w:autoSpaceDN w:val="0"/>
              <w:bidi w:val="0"/>
              <w:adjustRightInd w:val="0"/>
              <w:snapToGrid w:val="0"/>
              <w:spacing w:before="240" w:line="240" w:lineRule="auto"/>
              <w:ind w:left="40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2118</w:t>
            </w:r>
          </w:p>
        </w:tc>
      </w:tr>
      <w:tr w14:paraId="7BC72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759CB4F3">
            <w:pPr>
              <w:keepNext w:val="0"/>
              <w:keepLines w:val="0"/>
              <w:pageBreakBefore w:val="0"/>
              <w:widowControl/>
              <w:kinsoku w:val="0"/>
              <w:wordWrap/>
              <w:overflowPunct/>
              <w:topLinePunct w:val="0"/>
              <w:autoSpaceDE w:val="0"/>
              <w:autoSpaceDN w:val="0"/>
              <w:bidi w:val="0"/>
              <w:adjustRightInd w:val="0"/>
              <w:snapToGrid w:val="0"/>
              <w:spacing w:before="240" w:line="240" w:lineRule="auto"/>
              <w:ind w:left="2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10.80</w:t>
            </w:r>
          </w:p>
        </w:tc>
        <w:tc>
          <w:tcPr>
            <w:tcW w:w="1176" w:type="dxa"/>
            <w:vMerge w:val="restart"/>
            <w:tcBorders>
              <w:bottom w:val="nil"/>
            </w:tcBorders>
            <w:vAlign w:val="top"/>
          </w:tcPr>
          <w:p w14:paraId="11045C79">
            <w:pPr>
              <w:keepNext w:val="0"/>
              <w:keepLines w:val="0"/>
              <w:pageBreakBefore w:val="0"/>
              <w:widowControl/>
              <w:kinsoku w:val="0"/>
              <w:wordWrap/>
              <w:overflowPunct/>
              <w:topLinePunct w:val="0"/>
              <w:autoSpaceDE w:val="0"/>
              <w:autoSpaceDN w:val="0"/>
              <w:bidi w:val="0"/>
              <w:adjustRightInd w:val="0"/>
              <w:snapToGrid w:val="0"/>
              <w:spacing w:before="240" w:line="240" w:lineRule="auto"/>
              <w:ind w:left="3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0.20</w:t>
            </w:r>
          </w:p>
        </w:tc>
        <w:tc>
          <w:tcPr>
            <w:tcW w:w="1201" w:type="dxa"/>
            <w:vMerge w:val="continue"/>
            <w:tcBorders>
              <w:top w:val="nil"/>
            </w:tcBorders>
            <w:vAlign w:val="top"/>
          </w:tcPr>
          <w:p w14:paraId="05D177D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2CDE2B4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42C3C30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2887FFB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181607D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688822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1125" w:type="dxa"/>
            <w:vMerge w:val="continue"/>
            <w:tcBorders>
              <w:top w:val="nil"/>
            </w:tcBorders>
            <w:vAlign w:val="top"/>
          </w:tcPr>
          <w:p w14:paraId="6D0CA7F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68B1579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Merge w:val="restart"/>
            <w:tcBorders>
              <w:bottom w:val="nil"/>
            </w:tcBorders>
            <w:vAlign w:val="top"/>
          </w:tcPr>
          <w:p w14:paraId="1F265B36">
            <w:pPr>
              <w:keepNext w:val="0"/>
              <w:keepLines w:val="0"/>
              <w:pageBreakBefore w:val="0"/>
              <w:widowControl/>
              <w:kinsoku w:val="0"/>
              <w:wordWrap/>
              <w:overflowPunct/>
              <w:topLinePunct w:val="0"/>
              <w:autoSpaceDE w:val="0"/>
              <w:autoSpaceDN w:val="0"/>
              <w:bidi w:val="0"/>
              <w:adjustRightInd w:val="0"/>
              <w:snapToGrid w:val="0"/>
              <w:spacing w:before="243" w:line="240" w:lineRule="auto"/>
              <w:ind w:left="3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0.102</w:t>
            </w:r>
          </w:p>
        </w:tc>
        <w:tc>
          <w:tcPr>
            <w:tcW w:w="1176" w:type="dxa"/>
            <w:vMerge w:val="restart"/>
            <w:tcBorders>
              <w:bottom w:val="nil"/>
            </w:tcBorders>
            <w:vAlign w:val="top"/>
          </w:tcPr>
          <w:p w14:paraId="4EE4D5C4">
            <w:pPr>
              <w:keepNext w:val="0"/>
              <w:keepLines w:val="0"/>
              <w:pageBreakBefore w:val="0"/>
              <w:widowControl/>
              <w:kinsoku w:val="0"/>
              <w:wordWrap/>
              <w:overflowPunct/>
              <w:topLinePunct w:val="0"/>
              <w:autoSpaceDE w:val="0"/>
              <w:autoSpaceDN w:val="0"/>
              <w:bidi w:val="0"/>
              <w:adjustRightInd w:val="0"/>
              <w:snapToGrid w:val="0"/>
              <w:spacing w:before="243" w:line="240" w:lineRule="auto"/>
              <w:ind w:left="42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516</w:t>
            </w:r>
          </w:p>
        </w:tc>
        <w:tc>
          <w:tcPr>
            <w:tcW w:w="1264" w:type="dxa"/>
            <w:vMerge w:val="restart"/>
            <w:tcBorders>
              <w:bottom w:val="nil"/>
            </w:tcBorders>
            <w:vAlign w:val="top"/>
          </w:tcPr>
          <w:p w14:paraId="0E75AB1D">
            <w:pPr>
              <w:keepNext w:val="0"/>
              <w:keepLines w:val="0"/>
              <w:pageBreakBefore w:val="0"/>
              <w:widowControl/>
              <w:kinsoku w:val="0"/>
              <w:wordWrap/>
              <w:overflowPunct/>
              <w:topLinePunct w:val="0"/>
              <w:autoSpaceDE w:val="0"/>
              <w:autoSpaceDN w:val="0"/>
              <w:bidi w:val="0"/>
              <w:adjustRightInd w:val="0"/>
              <w:snapToGrid w:val="0"/>
              <w:spacing w:before="243" w:line="240" w:lineRule="auto"/>
              <w:ind w:left="40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2634</w:t>
            </w:r>
          </w:p>
        </w:tc>
        <w:tc>
          <w:tcPr>
            <w:tcW w:w="1204" w:type="dxa"/>
            <w:vMerge w:val="restart"/>
            <w:tcBorders>
              <w:bottom w:val="nil"/>
            </w:tcBorders>
            <w:vAlign w:val="top"/>
          </w:tcPr>
          <w:p w14:paraId="2A1AD270">
            <w:pPr>
              <w:keepNext w:val="0"/>
              <w:keepLines w:val="0"/>
              <w:pageBreakBefore w:val="0"/>
              <w:widowControl/>
              <w:kinsoku w:val="0"/>
              <w:wordWrap/>
              <w:overflowPunct/>
              <w:topLinePunct w:val="0"/>
              <w:autoSpaceDE w:val="0"/>
              <w:autoSpaceDN w:val="0"/>
              <w:bidi w:val="0"/>
              <w:adjustRightInd w:val="0"/>
              <w:snapToGrid w:val="0"/>
              <w:spacing w:before="243" w:line="240" w:lineRule="auto"/>
              <w:ind w:left="32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1.832</w:t>
            </w:r>
          </w:p>
        </w:tc>
        <w:tc>
          <w:tcPr>
            <w:tcW w:w="1269" w:type="dxa"/>
            <w:vMerge w:val="restart"/>
            <w:tcBorders>
              <w:bottom w:val="nil"/>
            </w:tcBorders>
            <w:vAlign w:val="top"/>
          </w:tcPr>
          <w:p w14:paraId="27638B4B">
            <w:pPr>
              <w:keepNext w:val="0"/>
              <w:keepLines w:val="0"/>
              <w:pageBreakBefore w:val="0"/>
              <w:widowControl/>
              <w:kinsoku w:val="0"/>
              <w:wordWrap/>
              <w:overflowPunct/>
              <w:topLinePunct w:val="0"/>
              <w:autoSpaceDE w:val="0"/>
              <w:autoSpaceDN w:val="0"/>
              <w:bidi w:val="0"/>
              <w:adjustRightInd w:val="0"/>
              <w:snapToGrid w:val="0"/>
              <w:spacing w:before="243" w:line="240" w:lineRule="auto"/>
              <w:ind w:left="516"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-4</w:t>
            </w:r>
          </w:p>
        </w:tc>
      </w:tr>
      <w:tr w14:paraId="20068E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25" w:type="dxa"/>
            <w:vMerge w:val="restart"/>
            <w:tcBorders>
              <w:bottom w:val="nil"/>
            </w:tcBorders>
            <w:vAlign w:val="top"/>
          </w:tcPr>
          <w:p w14:paraId="0C286A87">
            <w:pPr>
              <w:keepNext w:val="0"/>
              <w:keepLines w:val="0"/>
              <w:pageBreakBefore w:val="0"/>
              <w:widowControl/>
              <w:kinsoku w:val="0"/>
              <w:wordWrap/>
              <w:overflowPunct/>
              <w:topLinePunct w:val="0"/>
              <w:autoSpaceDE w:val="0"/>
              <w:autoSpaceDN w:val="0"/>
              <w:bidi w:val="0"/>
              <w:adjustRightInd w:val="0"/>
              <w:snapToGrid w:val="0"/>
              <w:spacing w:before="241" w:line="240" w:lineRule="auto"/>
              <w:ind w:left="28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11.20</w:t>
            </w:r>
          </w:p>
        </w:tc>
        <w:tc>
          <w:tcPr>
            <w:tcW w:w="1176" w:type="dxa"/>
            <w:vMerge w:val="restart"/>
            <w:tcBorders>
              <w:bottom w:val="nil"/>
            </w:tcBorders>
            <w:vAlign w:val="top"/>
          </w:tcPr>
          <w:p w14:paraId="60EDE213">
            <w:pPr>
              <w:keepNext w:val="0"/>
              <w:keepLines w:val="0"/>
              <w:pageBreakBefore w:val="0"/>
              <w:widowControl/>
              <w:kinsoku w:val="0"/>
              <w:wordWrap/>
              <w:overflowPunct/>
              <w:topLinePunct w:val="0"/>
              <w:autoSpaceDE w:val="0"/>
              <w:autoSpaceDN w:val="0"/>
              <w:bidi w:val="0"/>
              <w:adjustRightInd w:val="0"/>
              <w:snapToGrid w:val="0"/>
              <w:spacing w:before="241" w:line="240" w:lineRule="auto"/>
              <w:ind w:left="36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0.00</w:t>
            </w:r>
          </w:p>
        </w:tc>
        <w:tc>
          <w:tcPr>
            <w:tcW w:w="1201" w:type="dxa"/>
            <w:vMerge w:val="continue"/>
            <w:tcBorders>
              <w:top w:val="nil"/>
            </w:tcBorders>
            <w:vAlign w:val="top"/>
          </w:tcPr>
          <w:p w14:paraId="0DA392A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1C4FE6E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4" w:type="dxa"/>
            <w:vMerge w:val="continue"/>
            <w:tcBorders>
              <w:top w:val="nil"/>
            </w:tcBorders>
            <w:vAlign w:val="top"/>
          </w:tcPr>
          <w:p w14:paraId="5F70AA1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4" w:type="dxa"/>
            <w:vMerge w:val="continue"/>
            <w:tcBorders>
              <w:top w:val="nil"/>
            </w:tcBorders>
            <w:vAlign w:val="top"/>
          </w:tcPr>
          <w:p w14:paraId="04D9314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69" w:type="dxa"/>
            <w:vMerge w:val="continue"/>
            <w:tcBorders>
              <w:top w:val="nil"/>
            </w:tcBorders>
            <w:vAlign w:val="top"/>
          </w:tcPr>
          <w:p w14:paraId="117E6CC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r>
      <w:tr w14:paraId="17ED88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1125" w:type="dxa"/>
            <w:vMerge w:val="continue"/>
            <w:tcBorders>
              <w:top w:val="nil"/>
            </w:tcBorders>
            <w:vAlign w:val="top"/>
          </w:tcPr>
          <w:p w14:paraId="1BA9211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176" w:type="dxa"/>
            <w:vMerge w:val="continue"/>
            <w:tcBorders>
              <w:top w:val="nil"/>
            </w:tcBorders>
            <w:vAlign w:val="top"/>
          </w:tcPr>
          <w:p w14:paraId="6FEDBBF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kern w:val="0"/>
                <w:sz w:val="21"/>
                <w:szCs w:val="21"/>
                <w:lang w:eastAsia="en-US"/>
              </w:rPr>
            </w:pPr>
          </w:p>
        </w:tc>
        <w:tc>
          <w:tcPr>
            <w:tcW w:w="1201" w:type="dxa"/>
            <w:vAlign w:val="top"/>
          </w:tcPr>
          <w:p w14:paraId="30142246">
            <w:pPr>
              <w:keepNext w:val="0"/>
              <w:keepLines w:val="0"/>
              <w:pageBreakBefore w:val="0"/>
              <w:widowControl/>
              <w:kinsoku w:val="0"/>
              <w:wordWrap/>
              <w:overflowPunct/>
              <w:topLinePunct w:val="0"/>
              <w:autoSpaceDE w:val="0"/>
              <w:autoSpaceDN w:val="0"/>
              <w:bidi w:val="0"/>
              <w:adjustRightInd w:val="0"/>
              <w:snapToGrid w:val="0"/>
              <w:spacing w:before="78" w:line="240" w:lineRule="auto"/>
              <w:ind w:left="3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0.000</w:t>
            </w:r>
          </w:p>
        </w:tc>
        <w:tc>
          <w:tcPr>
            <w:tcW w:w="1176" w:type="dxa"/>
            <w:vAlign w:val="top"/>
          </w:tcPr>
          <w:p w14:paraId="5A2A47EA">
            <w:pPr>
              <w:keepNext w:val="0"/>
              <w:keepLines w:val="0"/>
              <w:pageBreakBefore w:val="0"/>
              <w:widowControl/>
              <w:kinsoku w:val="0"/>
              <w:wordWrap/>
              <w:overflowPunct/>
              <w:topLinePunct w:val="0"/>
              <w:autoSpaceDE w:val="0"/>
              <w:autoSpaceDN w:val="0"/>
              <w:bidi w:val="0"/>
              <w:adjustRightInd w:val="0"/>
              <w:snapToGrid w:val="0"/>
              <w:spacing w:before="78" w:line="240" w:lineRule="auto"/>
              <w:ind w:left="43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146</w:t>
            </w:r>
          </w:p>
        </w:tc>
        <w:tc>
          <w:tcPr>
            <w:tcW w:w="1264" w:type="dxa"/>
            <w:vAlign w:val="top"/>
          </w:tcPr>
          <w:p w14:paraId="2B6478C7">
            <w:pPr>
              <w:keepNext w:val="0"/>
              <w:keepLines w:val="0"/>
              <w:pageBreakBefore w:val="0"/>
              <w:widowControl/>
              <w:kinsoku w:val="0"/>
              <w:wordWrap/>
              <w:overflowPunct/>
              <w:topLinePunct w:val="0"/>
              <w:autoSpaceDE w:val="0"/>
              <w:autoSpaceDN w:val="0"/>
              <w:bidi w:val="0"/>
              <w:adjustRightInd w:val="0"/>
              <w:snapToGrid w:val="0"/>
              <w:spacing w:before="77" w:line="240" w:lineRule="auto"/>
              <w:ind w:left="47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142</w:t>
            </w:r>
          </w:p>
        </w:tc>
        <w:tc>
          <w:tcPr>
            <w:tcW w:w="1204" w:type="dxa"/>
            <w:vAlign w:val="top"/>
          </w:tcPr>
          <w:p w14:paraId="045F2FB8">
            <w:pPr>
              <w:keepNext w:val="0"/>
              <w:keepLines w:val="0"/>
              <w:pageBreakBefore w:val="0"/>
              <w:widowControl/>
              <w:kinsoku w:val="0"/>
              <w:wordWrap/>
              <w:overflowPunct/>
              <w:topLinePunct w:val="0"/>
              <w:autoSpaceDE w:val="0"/>
              <w:autoSpaceDN w:val="0"/>
              <w:bidi w:val="0"/>
              <w:adjustRightInd w:val="0"/>
              <w:snapToGrid w:val="0"/>
              <w:spacing w:before="78" w:line="240" w:lineRule="auto"/>
              <w:ind w:left="32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0.071</w:t>
            </w:r>
          </w:p>
        </w:tc>
        <w:tc>
          <w:tcPr>
            <w:tcW w:w="1269" w:type="dxa"/>
            <w:vAlign w:val="top"/>
          </w:tcPr>
          <w:p w14:paraId="219216A4">
            <w:pPr>
              <w:keepNext w:val="0"/>
              <w:keepLines w:val="0"/>
              <w:pageBreakBefore w:val="0"/>
              <w:widowControl/>
              <w:kinsoku w:val="0"/>
              <w:wordWrap/>
              <w:overflowPunct/>
              <w:topLinePunct w:val="0"/>
              <w:autoSpaceDE w:val="0"/>
              <w:autoSpaceDN w:val="0"/>
              <w:bidi w:val="0"/>
              <w:adjustRightInd w:val="0"/>
              <w:snapToGrid w:val="0"/>
              <w:spacing w:before="78" w:line="240" w:lineRule="auto"/>
              <w:ind w:left="537"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8"/>
                <w:kern w:val="0"/>
                <w:sz w:val="24"/>
                <w:szCs w:val="24"/>
                <w:lang w:val="en-US" w:eastAsia="en-US" w:bidi="ar-SA"/>
              </w:rPr>
              <w:t>39</w:t>
            </w:r>
          </w:p>
        </w:tc>
      </w:tr>
    </w:tbl>
    <w:p w14:paraId="49AE2781">
      <w:pPr>
        <w:spacing w:before="301" w:line="220" w:lineRule="auto"/>
        <w:ind w:left="0" w:leftChars="0" w:firstLine="0" w:firstLineChars="0"/>
        <w:jc w:val="center"/>
        <w:rPr>
          <w:rFonts w:ascii="宋体" w:hAnsi="宋体" w:eastAsia="宋体" w:cs="宋体"/>
          <w:spacing w:val="-1"/>
          <w:sz w:val="28"/>
          <w:szCs w:val="28"/>
        </w:rPr>
      </w:pPr>
      <w:r>
        <w:rPr>
          <w:rFonts w:ascii="宋体" w:hAnsi="宋体" w:eastAsia="宋体" w:cs="宋体"/>
          <w:spacing w:val="-1"/>
          <w:sz w:val="28"/>
          <w:szCs w:val="28"/>
        </w:rPr>
        <w:t>表</w:t>
      </w:r>
      <w:r>
        <w:rPr>
          <w:rFonts w:hint="eastAsia" w:ascii="宋体" w:hAnsi="宋体" w:eastAsia="宋体" w:cs="宋体"/>
          <w:spacing w:val="-1"/>
          <w:sz w:val="28"/>
          <w:szCs w:val="28"/>
          <w:lang w:val="en-US" w:eastAsia="zh-CN"/>
        </w:rPr>
        <w:t>5.3.2</w:t>
      </w:r>
      <w:r>
        <w:rPr>
          <w:rFonts w:ascii="宋体" w:hAnsi="宋体" w:eastAsia="宋体" w:cs="宋体"/>
          <w:spacing w:val="-1"/>
          <w:sz w:val="28"/>
          <w:szCs w:val="28"/>
        </w:rPr>
        <w:t>-12 尾矿库调洪演算结果</w:t>
      </w:r>
    </w:p>
    <w:tbl>
      <w:tblPr>
        <w:tblStyle w:val="27"/>
        <w:tblW w:w="84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76"/>
        <w:gridCol w:w="1053"/>
        <w:gridCol w:w="974"/>
        <w:gridCol w:w="974"/>
        <w:gridCol w:w="1034"/>
        <w:gridCol w:w="974"/>
        <w:gridCol w:w="1312"/>
        <w:gridCol w:w="1118"/>
      </w:tblGrid>
      <w:tr w14:paraId="4DD90C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6" w:hRule="atLeast"/>
        </w:trPr>
        <w:tc>
          <w:tcPr>
            <w:tcW w:w="976" w:type="dxa"/>
            <w:vAlign w:val="top"/>
          </w:tcPr>
          <w:p w14:paraId="2E753783">
            <w:pPr>
              <w:keepNext w:val="0"/>
              <w:keepLines w:val="0"/>
              <w:pageBreakBefore w:val="0"/>
              <w:widowControl w:val="0"/>
              <w:kinsoku w:val="0"/>
              <w:wordWrap/>
              <w:overflowPunct/>
              <w:topLinePunct w:val="0"/>
              <w:autoSpaceDE w:val="0"/>
              <w:autoSpaceDN w:val="0"/>
              <w:bidi w:val="0"/>
              <w:adjustRightInd w:val="0"/>
              <w:snapToGrid w:val="0"/>
              <w:spacing w:before="267" w:line="263" w:lineRule="auto"/>
              <w:ind w:left="120" w:right="2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坝顶高</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4"/>
                <w:kern w:val="0"/>
                <w:sz w:val="24"/>
                <w:szCs w:val="24"/>
                <w:lang w:val="en-US" w:eastAsia="en-US" w:bidi="ar-SA"/>
              </w:rPr>
              <w:t>程（m）</w:t>
            </w:r>
          </w:p>
        </w:tc>
        <w:tc>
          <w:tcPr>
            <w:tcW w:w="1053" w:type="dxa"/>
            <w:vAlign w:val="top"/>
          </w:tcPr>
          <w:p w14:paraId="342BBC3B">
            <w:pPr>
              <w:keepNext w:val="0"/>
              <w:keepLines w:val="0"/>
              <w:pageBreakBefore w:val="0"/>
              <w:widowControl w:val="0"/>
              <w:kinsoku w:val="0"/>
              <w:wordWrap/>
              <w:overflowPunct/>
              <w:topLinePunct w:val="0"/>
              <w:autoSpaceDE w:val="0"/>
              <w:autoSpaceDN w:val="0"/>
              <w:bidi w:val="0"/>
              <w:adjustRightInd w:val="0"/>
              <w:snapToGrid w:val="0"/>
              <w:spacing w:before="85" w:line="254" w:lineRule="auto"/>
              <w:ind w:left="183" w:right="166" w:firstLine="0" w:firstLineChars="0"/>
              <w:jc w:val="both"/>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允许调</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8"/>
                <w:kern w:val="0"/>
                <w:sz w:val="24"/>
                <w:szCs w:val="24"/>
                <w:lang w:val="en-US" w:eastAsia="en-US" w:bidi="ar-SA"/>
              </w:rPr>
              <w:t>洪高度</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12"/>
                <w:kern w:val="0"/>
                <w:sz w:val="24"/>
                <w:szCs w:val="24"/>
                <w:lang w:val="en-US" w:eastAsia="en-US" w:bidi="ar-SA"/>
              </w:rPr>
              <w:t>（m）</w:t>
            </w:r>
          </w:p>
        </w:tc>
        <w:tc>
          <w:tcPr>
            <w:tcW w:w="974" w:type="dxa"/>
            <w:vAlign w:val="top"/>
          </w:tcPr>
          <w:p w14:paraId="5E744FAB">
            <w:pPr>
              <w:keepNext w:val="0"/>
              <w:keepLines w:val="0"/>
              <w:pageBreakBefore w:val="0"/>
              <w:widowControl w:val="0"/>
              <w:kinsoku w:val="0"/>
              <w:wordWrap/>
              <w:overflowPunct/>
              <w:topLinePunct w:val="0"/>
              <w:autoSpaceDE w:val="0"/>
              <w:autoSpaceDN w:val="0"/>
              <w:bidi w:val="0"/>
              <w:adjustRightInd w:val="0"/>
              <w:snapToGrid w:val="0"/>
              <w:spacing w:before="266" w:line="263" w:lineRule="auto"/>
              <w:ind w:left="119" w:right="24"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1"/>
                <w:kern w:val="0"/>
                <w:sz w:val="24"/>
                <w:szCs w:val="24"/>
                <w:lang w:val="en-US" w:eastAsia="en-US" w:bidi="ar-SA"/>
              </w:rPr>
              <w:t>防洪标</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4"/>
                <w:kern w:val="0"/>
                <w:sz w:val="24"/>
                <w:szCs w:val="24"/>
                <w:lang w:val="en-US" w:eastAsia="en-US" w:bidi="ar-SA"/>
              </w:rPr>
              <w:t>准（a）</w:t>
            </w:r>
          </w:p>
        </w:tc>
        <w:tc>
          <w:tcPr>
            <w:tcW w:w="974" w:type="dxa"/>
            <w:vAlign w:val="top"/>
          </w:tcPr>
          <w:p w14:paraId="50580BB0">
            <w:pPr>
              <w:keepNext w:val="0"/>
              <w:keepLines w:val="0"/>
              <w:pageBreakBefore w:val="0"/>
              <w:widowControl w:val="0"/>
              <w:kinsoku w:val="0"/>
              <w:wordWrap/>
              <w:overflowPunct/>
              <w:topLinePunct w:val="0"/>
              <w:autoSpaceDE w:val="0"/>
              <w:autoSpaceDN w:val="0"/>
              <w:bidi w:val="0"/>
              <w:adjustRightInd w:val="0"/>
              <w:snapToGrid w:val="0"/>
              <w:spacing w:before="265" w:line="263" w:lineRule="auto"/>
              <w:ind w:left="110" w:right="2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起调水</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2"/>
                <w:kern w:val="0"/>
                <w:sz w:val="24"/>
                <w:szCs w:val="24"/>
                <w:lang w:val="en-US" w:eastAsia="en-US" w:bidi="ar-SA"/>
              </w:rPr>
              <w:t>位（m）</w:t>
            </w:r>
          </w:p>
        </w:tc>
        <w:tc>
          <w:tcPr>
            <w:tcW w:w="1034" w:type="dxa"/>
            <w:vAlign w:val="top"/>
          </w:tcPr>
          <w:p w14:paraId="20C25938">
            <w:pPr>
              <w:keepNext w:val="0"/>
              <w:keepLines w:val="0"/>
              <w:pageBreakBefore w:val="0"/>
              <w:widowControl w:val="0"/>
              <w:kinsoku w:val="0"/>
              <w:wordWrap/>
              <w:overflowPunct/>
              <w:topLinePunct w:val="0"/>
              <w:autoSpaceDE w:val="0"/>
              <w:autoSpaceDN w:val="0"/>
              <w:bidi w:val="0"/>
              <w:adjustRightInd w:val="0"/>
              <w:snapToGrid w:val="0"/>
              <w:spacing w:before="85" w:line="254" w:lineRule="auto"/>
              <w:ind w:left="176" w:right="155" w:firstLine="0" w:firstLineChars="0"/>
              <w:jc w:val="both"/>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8"/>
                <w:kern w:val="0"/>
                <w:sz w:val="24"/>
                <w:szCs w:val="24"/>
                <w:lang w:val="en-US" w:eastAsia="en-US" w:bidi="ar-SA"/>
              </w:rPr>
              <w:t>最高</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8"/>
                <w:kern w:val="0"/>
                <w:sz w:val="24"/>
                <w:szCs w:val="24"/>
                <w:lang w:val="en-US" w:eastAsia="en-US" w:bidi="ar-SA"/>
              </w:rPr>
              <w:t>洪水位</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12"/>
                <w:kern w:val="0"/>
                <w:sz w:val="24"/>
                <w:szCs w:val="24"/>
                <w:lang w:val="en-US" w:eastAsia="en-US" w:bidi="ar-SA"/>
              </w:rPr>
              <w:t>（m）</w:t>
            </w:r>
          </w:p>
        </w:tc>
        <w:tc>
          <w:tcPr>
            <w:tcW w:w="974" w:type="dxa"/>
            <w:vAlign w:val="top"/>
          </w:tcPr>
          <w:p w14:paraId="2674F4AF">
            <w:pPr>
              <w:keepNext w:val="0"/>
              <w:keepLines w:val="0"/>
              <w:pageBreakBefore w:val="0"/>
              <w:widowControl w:val="0"/>
              <w:kinsoku w:val="0"/>
              <w:wordWrap/>
              <w:overflowPunct/>
              <w:topLinePunct w:val="0"/>
              <w:autoSpaceDE w:val="0"/>
              <w:autoSpaceDN w:val="0"/>
              <w:bidi w:val="0"/>
              <w:adjustRightInd w:val="0"/>
              <w:snapToGrid w:val="0"/>
              <w:spacing w:before="266" w:line="264" w:lineRule="auto"/>
              <w:ind w:left="126" w:right="2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安全超</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5"/>
                <w:kern w:val="0"/>
                <w:sz w:val="24"/>
                <w:szCs w:val="24"/>
                <w:lang w:val="en-US" w:eastAsia="en-US" w:bidi="ar-SA"/>
              </w:rPr>
              <w:t>高（m）</w:t>
            </w:r>
          </w:p>
        </w:tc>
        <w:tc>
          <w:tcPr>
            <w:tcW w:w="1312" w:type="dxa"/>
            <w:vAlign w:val="top"/>
          </w:tcPr>
          <w:p w14:paraId="7A49DFB5">
            <w:pPr>
              <w:keepNext w:val="0"/>
              <w:keepLines w:val="0"/>
              <w:pageBreakBefore w:val="0"/>
              <w:widowControl w:val="0"/>
              <w:kinsoku w:val="0"/>
              <w:wordWrap/>
              <w:overflowPunct/>
              <w:topLinePunct w:val="0"/>
              <w:autoSpaceDE w:val="0"/>
              <w:autoSpaceDN w:val="0"/>
              <w:bidi w:val="0"/>
              <w:adjustRightInd w:val="0"/>
              <w:snapToGrid w:val="0"/>
              <w:spacing w:before="265" w:line="265" w:lineRule="auto"/>
              <w:ind w:left="122" w:right="6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最大泄流</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3"/>
                <w:kern w:val="0"/>
                <w:sz w:val="24"/>
                <w:szCs w:val="24"/>
                <w:lang w:val="en-US" w:eastAsia="en-US" w:bidi="ar-SA"/>
              </w:rPr>
              <w:t>量（m</w:t>
            </w:r>
            <w:r>
              <w:rPr>
                <w:rFonts w:ascii="仿宋" w:hAnsi="仿宋" w:eastAsia="仿宋" w:cs="仿宋"/>
                <w:snapToGrid w:val="0"/>
                <w:color w:val="000000"/>
                <w:spacing w:val="-3"/>
                <w:kern w:val="0"/>
                <w:position w:val="11"/>
                <w:sz w:val="12"/>
                <w:szCs w:val="12"/>
                <w:lang w:val="en-US" w:eastAsia="en-US" w:bidi="ar-SA"/>
              </w:rPr>
              <w:t>3</w:t>
            </w:r>
            <w:r>
              <w:rPr>
                <w:rFonts w:ascii="仿宋" w:hAnsi="仿宋" w:eastAsia="仿宋" w:cs="仿宋"/>
                <w:snapToGrid w:val="0"/>
                <w:color w:val="000000"/>
                <w:spacing w:val="-3"/>
                <w:kern w:val="0"/>
                <w:sz w:val="24"/>
                <w:szCs w:val="24"/>
                <w:lang w:val="en-US" w:eastAsia="en-US" w:bidi="ar-SA"/>
              </w:rPr>
              <w:t>/s）</w:t>
            </w:r>
          </w:p>
        </w:tc>
        <w:tc>
          <w:tcPr>
            <w:tcW w:w="1118" w:type="dxa"/>
            <w:vAlign w:val="top"/>
          </w:tcPr>
          <w:p w14:paraId="5FBAD07C">
            <w:pPr>
              <w:keepNext w:val="0"/>
              <w:keepLines w:val="0"/>
              <w:pageBreakBefore w:val="0"/>
              <w:widowControl w:val="0"/>
              <w:kinsoku w:val="0"/>
              <w:wordWrap/>
              <w:overflowPunct/>
              <w:topLinePunct w:val="0"/>
              <w:autoSpaceDE w:val="0"/>
              <w:autoSpaceDN w:val="0"/>
              <w:bidi w:val="0"/>
              <w:adjustRightInd w:val="0"/>
              <w:snapToGrid w:val="0"/>
              <w:spacing w:before="85" w:line="254" w:lineRule="auto"/>
              <w:ind w:left="219" w:right="195" w:firstLine="0" w:firstLineChars="0"/>
              <w:jc w:val="both"/>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所需调</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8"/>
                <w:kern w:val="0"/>
                <w:sz w:val="24"/>
                <w:szCs w:val="24"/>
                <w:lang w:val="en-US" w:eastAsia="en-US" w:bidi="ar-SA"/>
              </w:rPr>
              <w:t>洪库容</w:t>
            </w:r>
            <w:r>
              <w:rPr>
                <w:rFonts w:ascii="仿宋" w:hAnsi="仿宋" w:eastAsia="仿宋" w:cs="仿宋"/>
                <w:snapToGrid w:val="0"/>
                <w:color w:val="000000"/>
                <w:kern w:val="0"/>
                <w:sz w:val="24"/>
                <w:szCs w:val="24"/>
                <w:lang w:val="en-US" w:eastAsia="en-US" w:bidi="ar-SA"/>
              </w:rPr>
              <w:t xml:space="preserve"> </w:t>
            </w:r>
            <w:r>
              <w:rPr>
                <w:rFonts w:ascii="仿宋" w:hAnsi="仿宋" w:eastAsia="仿宋" w:cs="仿宋"/>
                <w:snapToGrid w:val="0"/>
                <w:color w:val="000000"/>
                <w:spacing w:val="1"/>
                <w:kern w:val="0"/>
                <w:sz w:val="24"/>
                <w:szCs w:val="24"/>
                <w:lang w:val="en-US" w:eastAsia="en-US" w:bidi="ar-SA"/>
              </w:rPr>
              <w:t>（m</w:t>
            </w:r>
            <w:r>
              <w:rPr>
                <w:rFonts w:ascii="仿宋" w:hAnsi="仿宋" w:eastAsia="仿宋" w:cs="仿宋"/>
                <w:snapToGrid w:val="0"/>
                <w:color w:val="000000"/>
                <w:spacing w:val="1"/>
                <w:kern w:val="0"/>
                <w:position w:val="11"/>
                <w:sz w:val="12"/>
                <w:szCs w:val="12"/>
                <w:lang w:val="en-US" w:eastAsia="en-US" w:bidi="ar-SA"/>
              </w:rPr>
              <w:t>3</w:t>
            </w:r>
            <w:r>
              <w:rPr>
                <w:rFonts w:ascii="仿宋" w:hAnsi="仿宋" w:eastAsia="仿宋" w:cs="仿宋"/>
                <w:snapToGrid w:val="0"/>
                <w:color w:val="000000"/>
                <w:spacing w:val="-28"/>
                <w:kern w:val="0"/>
                <w:position w:val="11"/>
                <w:sz w:val="12"/>
                <w:szCs w:val="12"/>
                <w:lang w:val="en-US" w:eastAsia="en-US" w:bidi="ar-SA"/>
              </w:rPr>
              <w:t xml:space="preserve"> </w:t>
            </w:r>
            <w:r>
              <w:rPr>
                <w:rFonts w:ascii="仿宋" w:hAnsi="仿宋" w:eastAsia="仿宋" w:cs="仿宋"/>
                <w:snapToGrid w:val="0"/>
                <w:color w:val="000000"/>
                <w:spacing w:val="1"/>
                <w:kern w:val="0"/>
                <w:sz w:val="24"/>
                <w:szCs w:val="24"/>
                <w:lang w:val="en-US" w:eastAsia="en-US" w:bidi="ar-SA"/>
              </w:rPr>
              <w:t>）</w:t>
            </w:r>
          </w:p>
        </w:tc>
      </w:tr>
      <w:tr w14:paraId="717152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976" w:type="dxa"/>
            <w:vAlign w:val="top"/>
          </w:tcPr>
          <w:p w14:paraId="7A7F8FD5">
            <w:pPr>
              <w:keepNext w:val="0"/>
              <w:keepLines w:val="0"/>
              <w:pageBreakBefore w:val="0"/>
              <w:widowControl w:val="0"/>
              <w:kinsoku w:val="0"/>
              <w:wordWrap/>
              <w:overflowPunct/>
              <w:topLinePunct w:val="0"/>
              <w:autoSpaceDE w:val="0"/>
              <w:autoSpaceDN w:val="0"/>
              <w:bidi w:val="0"/>
              <w:adjustRightInd w:val="0"/>
              <w:snapToGrid w:val="0"/>
              <w:spacing w:before="290" w:line="181" w:lineRule="auto"/>
              <w:ind w:left="20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233.0</w:t>
            </w:r>
          </w:p>
        </w:tc>
        <w:tc>
          <w:tcPr>
            <w:tcW w:w="1053" w:type="dxa"/>
            <w:vAlign w:val="top"/>
          </w:tcPr>
          <w:p w14:paraId="361C10F1">
            <w:pPr>
              <w:keepNext w:val="0"/>
              <w:keepLines w:val="0"/>
              <w:pageBreakBefore w:val="0"/>
              <w:widowControl w:val="0"/>
              <w:kinsoku w:val="0"/>
              <w:wordWrap/>
              <w:overflowPunct/>
              <w:topLinePunct w:val="0"/>
              <w:autoSpaceDE w:val="0"/>
              <w:autoSpaceDN w:val="0"/>
              <w:bidi w:val="0"/>
              <w:adjustRightInd w:val="0"/>
              <w:snapToGrid w:val="0"/>
              <w:spacing w:before="290" w:line="181" w:lineRule="auto"/>
              <w:ind w:left="300"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2.82</w:t>
            </w:r>
          </w:p>
        </w:tc>
        <w:tc>
          <w:tcPr>
            <w:tcW w:w="974" w:type="dxa"/>
            <w:vAlign w:val="top"/>
          </w:tcPr>
          <w:p w14:paraId="3D161271">
            <w:pPr>
              <w:keepNext w:val="0"/>
              <w:keepLines w:val="0"/>
              <w:pageBreakBefore w:val="0"/>
              <w:widowControl w:val="0"/>
              <w:kinsoku w:val="0"/>
              <w:wordWrap/>
              <w:overflowPunct/>
              <w:topLinePunct w:val="0"/>
              <w:autoSpaceDE w:val="0"/>
              <w:autoSpaceDN w:val="0"/>
              <w:bidi w:val="0"/>
              <w:adjustRightInd w:val="0"/>
              <w:snapToGrid w:val="0"/>
              <w:spacing w:before="290" w:line="179" w:lineRule="auto"/>
              <w:ind w:left="32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100</w:t>
            </w:r>
          </w:p>
        </w:tc>
        <w:tc>
          <w:tcPr>
            <w:tcW w:w="974" w:type="dxa"/>
            <w:vAlign w:val="top"/>
          </w:tcPr>
          <w:p w14:paraId="66915730">
            <w:pPr>
              <w:keepNext w:val="0"/>
              <w:keepLines w:val="0"/>
              <w:pageBreakBefore w:val="0"/>
              <w:widowControl w:val="0"/>
              <w:kinsoku w:val="0"/>
              <w:wordWrap/>
              <w:overflowPunct/>
              <w:topLinePunct w:val="0"/>
              <w:autoSpaceDE w:val="0"/>
              <w:autoSpaceDN w:val="0"/>
              <w:bidi w:val="0"/>
              <w:adjustRightInd w:val="0"/>
              <w:snapToGrid w:val="0"/>
              <w:spacing w:before="290" w:line="181" w:lineRule="auto"/>
              <w:ind w:left="203"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229.5</w:t>
            </w:r>
          </w:p>
        </w:tc>
        <w:tc>
          <w:tcPr>
            <w:tcW w:w="1034" w:type="dxa"/>
            <w:vAlign w:val="top"/>
          </w:tcPr>
          <w:p w14:paraId="75363126">
            <w:pPr>
              <w:keepNext w:val="0"/>
              <w:keepLines w:val="0"/>
              <w:pageBreakBefore w:val="0"/>
              <w:widowControl w:val="0"/>
              <w:kinsoku w:val="0"/>
              <w:wordWrap/>
              <w:overflowPunct/>
              <w:topLinePunct w:val="0"/>
              <w:autoSpaceDE w:val="0"/>
              <w:autoSpaceDN w:val="0"/>
              <w:bidi w:val="0"/>
              <w:adjustRightInd w:val="0"/>
              <w:snapToGrid w:val="0"/>
              <w:spacing w:before="290" w:line="181" w:lineRule="auto"/>
              <w:ind w:left="172"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232.28</w:t>
            </w:r>
          </w:p>
        </w:tc>
        <w:tc>
          <w:tcPr>
            <w:tcW w:w="974" w:type="dxa"/>
            <w:vAlign w:val="top"/>
          </w:tcPr>
          <w:p w14:paraId="483AC981">
            <w:pPr>
              <w:keepNext w:val="0"/>
              <w:keepLines w:val="0"/>
              <w:pageBreakBefore w:val="0"/>
              <w:widowControl w:val="0"/>
              <w:kinsoku w:val="0"/>
              <w:wordWrap/>
              <w:overflowPunct/>
              <w:topLinePunct w:val="0"/>
              <w:autoSpaceDE w:val="0"/>
              <w:autoSpaceDN w:val="0"/>
              <w:bidi w:val="0"/>
              <w:adjustRightInd w:val="0"/>
              <w:snapToGrid w:val="0"/>
              <w:spacing w:before="290" w:line="181" w:lineRule="auto"/>
              <w:ind w:left="271"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0.72</w:t>
            </w:r>
          </w:p>
        </w:tc>
        <w:tc>
          <w:tcPr>
            <w:tcW w:w="1312" w:type="dxa"/>
            <w:vAlign w:val="top"/>
          </w:tcPr>
          <w:p w14:paraId="368D5FA7">
            <w:pPr>
              <w:keepNext w:val="0"/>
              <w:keepLines w:val="0"/>
              <w:pageBreakBefore w:val="0"/>
              <w:widowControl w:val="0"/>
              <w:kinsoku w:val="0"/>
              <w:wordWrap/>
              <w:overflowPunct/>
              <w:topLinePunct w:val="0"/>
              <w:autoSpaceDE w:val="0"/>
              <w:autoSpaceDN w:val="0"/>
              <w:bidi w:val="0"/>
              <w:adjustRightInd w:val="0"/>
              <w:snapToGrid w:val="0"/>
              <w:spacing w:before="290" w:line="181" w:lineRule="auto"/>
              <w:ind w:left="378"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19.87</w:t>
            </w:r>
          </w:p>
        </w:tc>
        <w:tc>
          <w:tcPr>
            <w:tcW w:w="1118" w:type="dxa"/>
            <w:vAlign w:val="top"/>
          </w:tcPr>
          <w:p w14:paraId="71BB3534">
            <w:pPr>
              <w:keepNext w:val="0"/>
              <w:keepLines w:val="0"/>
              <w:pageBreakBefore w:val="0"/>
              <w:widowControl w:val="0"/>
              <w:kinsoku w:val="0"/>
              <w:wordWrap/>
              <w:overflowPunct/>
              <w:topLinePunct w:val="0"/>
              <w:autoSpaceDE w:val="0"/>
              <w:autoSpaceDN w:val="0"/>
              <w:bidi w:val="0"/>
              <w:adjustRightInd w:val="0"/>
              <w:snapToGrid w:val="0"/>
              <w:spacing w:before="283" w:line="179" w:lineRule="auto"/>
              <w:ind w:left="275" w:firstLine="0" w:firstLineChars="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28023</w:t>
            </w:r>
          </w:p>
        </w:tc>
      </w:tr>
    </w:tbl>
    <w:p w14:paraId="0247B3D5">
      <w:pPr>
        <w:bidi w:val="0"/>
        <w:rPr>
          <w:rFonts w:ascii="宋体" w:hAnsi="宋体" w:eastAsia="宋体" w:cs="宋体"/>
          <w:spacing w:val="-1"/>
          <w:szCs w:val="28"/>
        </w:rPr>
      </w:pPr>
      <w:r>
        <w:rPr>
          <w:rFonts w:hint="default" w:ascii="Times New Roman" w:hAnsi="Times New Roman" w:cs="Times New Roman"/>
        </w:rPr>
        <w:t>由表 3-11 和表 3-12 可知，经过调洪，尾矿库最大的下泄流量 为 19.87m</w:t>
      </w:r>
      <w:r>
        <w:rPr>
          <w:rFonts w:hint="default" w:ascii="Times New Roman" w:hAnsi="Times New Roman" w:cs="Times New Roman"/>
          <w:vertAlign w:val="superscript"/>
        </w:rPr>
        <w:t>3</w:t>
      </w:r>
      <w:r>
        <w:rPr>
          <w:rFonts w:hint="default" w:ascii="Times New Roman" w:hAnsi="Times New Roman" w:cs="Times New Roman"/>
        </w:rPr>
        <w:t>/s，所需调洪库容为 28023m</w:t>
      </w:r>
      <w:r>
        <w:rPr>
          <w:rFonts w:hint="default" w:ascii="Times New Roman" w:hAnsi="Times New Roman" w:cs="Times New Roman"/>
          <w:vertAlign w:val="superscript"/>
        </w:rPr>
        <w:t>3</w:t>
      </w:r>
      <w:r>
        <w:rPr>
          <w:rFonts w:hint="eastAsia" w:ascii="Times New Roman" w:hAnsi="Times New Roman" w:cs="Times New Roman"/>
          <w:lang w:eastAsia="zh-CN"/>
        </w:rPr>
        <w:t>，</w:t>
      </w:r>
      <w:r>
        <w:rPr>
          <w:rFonts w:hint="default" w:ascii="Times New Roman" w:hAnsi="Times New Roman" w:cs="Times New Roman"/>
        </w:rPr>
        <w:t>调洪后最高洪水位为 232.28m，此时调洪水深 2.78m，安全超高为 0.72m&gt;0.68m，尾矿库排洪排水系统泄流能力满足安全泄洪的需要，安全超高满足规范要求。</w:t>
      </w:r>
    </w:p>
    <w:p w14:paraId="346DC46F">
      <w:pPr>
        <w:pStyle w:val="5"/>
        <w:bidi w:val="0"/>
        <w:rPr>
          <w:rFonts w:hint="default" w:ascii="Times New Roman" w:hAnsi="Times New Roman" w:cs="Times New Roman"/>
          <w:color w:val="auto"/>
          <w:lang w:val="en-US" w:eastAsia="zh-CN"/>
        </w:rPr>
      </w:pPr>
      <w:bookmarkStart w:id="194" w:name="_Toc28024"/>
      <w:r>
        <w:rPr>
          <w:rFonts w:hint="default" w:ascii="Times New Roman" w:hAnsi="Times New Roman" w:cs="Times New Roman"/>
          <w:color w:val="auto"/>
          <w:lang w:val="en-US" w:eastAsia="zh-CN"/>
        </w:rPr>
        <w:t>5.3.3防排洪系统单元评价小结</w:t>
      </w:r>
      <w:bookmarkEnd w:id="194"/>
    </w:p>
    <w:p w14:paraId="36CA8506">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1</w:t>
      </w:r>
      <w:r>
        <w:rPr>
          <w:rFonts w:hint="default" w:ascii="Times New Roman" w:hAnsi="Times New Roman" w:cs="Times New Roman"/>
          <w:color w:val="auto"/>
          <w:lang w:val="en-US" w:eastAsia="zh-CN"/>
        </w:rPr>
        <w:t>）经采用安全检查表评价</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江西临川鲁金矿业有限公司茅排金矿庄前尾矿库</w:t>
      </w:r>
      <w:r>
        <w:rPr>
          <w:rFonts w:hint="eastAsia" w:ascii="Times New Roman" w:hAnsi="Times New Roman" w:cs="Times New Roman"/>
          <w:color w:val="auto"/>
          <w:lang w:val="en-US" w:eastAsia="zh-CN"/>
        </w:rPr>
        <w:t>抗洪抢险物资不足。</w:t>
      </w:r>
      <w:r>
        <w:rPr>
          <w:rFonts w:hint="default" w:ascii="Times New Roman" w:hAnsi="Times New Roman" w:cs="Times New Roman"/>
          <w:color w:val="auto"/>
          <w:lang w:val="en-US" w:eastAsia="zh-CN"/>
        </w:rPr>
        <w:t>防洪排水单元应得分3</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分</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实际得分</w:t>
      </w:r>
      <w:r>
        <w:rPr>
          <w:rFonts w:hint="eastAsia" w:ascii="Times New Roman" w:hAnsi="Times New Roman" w:cs="Times New Roman"/>
          <w:color w:val="auto"/>
          <w:lang w:val="en-US" w:eastAsia="zh-CN"/>
        </w:rPr>
        <w:t>26</w:t>
      </w:r>
      <w:r>
        <w:rPr>
          <w:rFonts w:hint="default" w:ascii="Times New Roman" w:hAnsi="Times New Roman" w:cs="Times New Roman"/>
          <w:color w:val="auto"/>
          <w:lang w:val="en-US" w:eastAsia="zh-CN"/>
        </w:rPr>
        <w:t>分</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得分率</w:t>
      </w:r>
      <w:r>
        <w:rPr>
          <w:rFonts w:hint="eastAsia" w:ascii="Times New Roman" w:hAnsi="Times New Roman" w:cs="Times New Roman"/>
          <w:color w:val="auto"/>
          <w:lang w:val="en-US" w:eastAsia="zh-CN"/>
        </w:rPr>
        <w:t>78.79</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防洪排水单元符合安全要求。</w:t>
      </w:r>
    </w:p>
    <w:p w14:paraId="0434B2D9">
      <w:pP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（2）根据调洪演算，尾矿库排洪排水系统泄流能力满足安全泄洪的需要，安全超高满足规范要求。</w:t>
      </w:r>
    </w:p>
    <w:p w14:paraId="5D9C0B74">
      <w:pPr>
        <w:pStyle w:val="4"/>
        <w:bidi w:val="0"/>
        <w:rPr>
          <w:rFonts w:hint="default" w:ascii="Times New Roman" w:hAnsi="Times New Roman" w:cs="Times New Roman"/>
          <w:color w:val="auto"/>
          <w:lang w:val="en-US" w:eastAsia="zh-CN"/>
        </w:rPr>
      </w:pPr>
      <w:bookmarkStart w:id="195" w:name="_Toc10640"/>
      <w:r>
        <w:rPr>
          <w:rFonts w:hint="default" w:ascii="Times New Roman" w:hAnsi="Times New Roman" w:cs="Times New Roman"/>
          <w:color w:val="auto"/>
          <w:lang w:val="en-US" w:eastAsia="zh-CN"/>
        </w:rPr>
        <w:t>5.4 安全监测设施单元</w:t>
      </w:r>
      <w:bookmarkEnd w:id="195"/>
    </w:p>
    <w:p w14:paraId="13976E37">
      <w:pPr>
        <w:pStyle w:val="5"/>
        <w:bidi w:val="0"/>
        <w:rPr>
          <w:rFonts w:hint="default" w:ascii="Times New Roman" w:hAnsi="Times New Roman" w:cs="Times New Roman"/>
          <w:color w:val="auto"/>
          <w:lang w:val="en-US" w:eastAsia="zh-CN"/>
        </w:rPr>
      </w:pPr>
      <w:bookmarkStart w:id="196" w:name="_Toc30000"/>
      <w:r>
        <w:rPr>
          <w:rFonts w:hint="default" w:ascii="Times New Roman" w:hAnsi="Times New Roman" w:cs="Times New Roman"/>
          <w:color w:val="auto"/>
          <w:lang w:val="en-US" w:eastAsia="zh-CN"/>
        </w:rPr>
        <w:t>5.4.1 安全检查法评价</w:t>
      </w:r>
      <w:bookmarkEnd w:id="196"/>
    </w:p>
    <w:p w14:paraId="357ABB95">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经现场检查</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企业在尾矿坝只布置一条观测横断面，共布置3个观测点。水平变形观测采用视准线法，垂直变形观测采用水准仪，定期监测，并记录在册。</w:t>
      </w:r>
    </w:p>
    <w:p w14:paraId="7CF1474D">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企业在连接井附近布置了1个库水位标尺监测点，采用人工监测方式，每天监测1次，并记录在册。</w:t>
      </w:r>
    </w:p>
    <w:p w14:paraId="366FEE68">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2021年企业在尾矿库区域安装了在线监测系统，其中GPS表面位移监测测点1个，GPS表面位移基站1个，浸润线定期检测点2个，雨量监测点1个，库水位监测点1个（布置在排洪斜槽附近），每个测点配电源系统、防雷系统1套，并与江西省非煤矿矿山安全生产风险监测预警系统对接。监测项目、系统较为完整</w:t>
      </w:r>
      <w:r>
        <w:rPr>
          <w:rFonts w:hint="eastAsia" w:ascii="Times New Roman" w:hAnsi="Times New Roman" w:cs="Times New Roman"/>
          <w:color w:val="auto"/>
          <w:lang w:val="en-US" w:eastAsia="zh-CN"/>
        </w:rPr>
        <w:t>，运行正常，</w:t>
      </w:r>
      <w:r>
        <w:rPr>
          <w:rFonts w:hint="default" w:ascii="Times New Roman" w:hAnsi="Times New Roman" w:cs="Times New Roman"/>
          <w:color w:val="auto"/>
          <w:lang w:val="en-US" w:eastAsia="zh-CN"/>
        </w:rPr>
        <w:t>符合规程规范要求。</w:t>
      </w:r>
    </w:p>
    <w:p w14:paraId="5A64798F">
      <w:pPr>
        <w:pStyle w:val="4"/>
        <w:bidi w:val="0"/>
        <w:rPr>
          <w:rFonts w:hint="default" w:ascii="Times New Roman" w:hAnsi="Times New Roman" w:cs="Times New Roman"/>
          <w:color w:val="auto"/>
          <w:lang w:val="en-US" w:eastAsia="zh-CN"/>
        </w:rPr>
      </w:pPr>
      <w:bookmarkStart w:id="197" w:name="_Toc22983"/>
      <w:r>
        <w:rPr>
          <w:rFonts w:hint="default" w:ascii="Times New Roman" w:hAnsi="Times New Roman" w:cs="Times New Roman"/>
          <w:color w:val="auto"/>
          <w:lang w:val="en-US" w:eastAsia="zh-CN"/>
        </w:rPr>
        <w:t>5.5 库区环境单元</w:t>
      </w:r>
      <w:bookmarkEnd w:id="197"/>
    </w:p>
    <w:p w14:paraId="6B7A1F1A">
      <w:pPr>
        <w:pStyle w:val="5"/>
        <w:bidi w:val="0"/>
        <w:rPr>
          <w:rFonts w:hint="default" w:ascii="Times New Roman" w:hAnsi="Times New Roman" w:cs="Times New Roman"/>
          <w:color w:val="auto"/>
          <w:lang w:val="en-US" w:eastAsia="zh-CN"/>
        </w:rPr>
      </w:pPr>
      <w:bookmarkStart w:id="198" w:name="_Toc16395"/>
      <w:r>
        <w:rPr>
          <w:rFonts w:hint="default" w:ascii="Times New Roman" w:hAnsi="Times New Roman" w:cs="Times New Roman"/>
          <w:color w:val="auto"/>
          <w:lang w:val="en-US" w:eastAsia="zh-CN"/>
        </w:rPr>
        <w:t>5.5.1 安全检查表评价</w:t>
      </w:r>
      <w:bookmarkEnd w:id="198"/>
    </w:p>
    <w:p w14:paraId="15D15A1C">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运用《江西省尾矿库安全检查表》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对库区环境单元进行评判</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具体见表5.5.1-1。</w:t>
      </w:r>
    </w:p>
    <w:p w14:paraId="60E3FE1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表</w:t>
      </w:r>
      <w:r>
        <w:rPr>
          <w:rFonts w:hint="default" w:ascii="Times New Roman" w:hAnsi="Times New Roman" w:eastAsia="宋体" w:cs="Times New Roman"/>
          <w:color w:val="auto"/>
          <w:lang w:val="en-US" w:eastAsia="zh-CN"/>
        </w:rPr>
        <w:t>5.5.1-1</w:t>
      </w:r>
      <w:r>
        <w:rPr>
          <w:rFonts w:hint="default" w:ascii="Times New Roman" w:hAnsi="Times New Roman" w:eastAsia="宋体" w:cs="Times New Roman"/>
          <w:color w:val="auto"/>
          <w:lang w:eastAsia="zh-CN"/>
        </w:rPr>
        <w:t>库区环境单元安全检查表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832"/>
        <w:gridCol w:w="2455"/>
        <w:gridCol w:w="1176"/>
        <w:gridCol w:w="947"/>
        <w:gridCol w:w="1074"/>
        <w:gridCol w:w="901"/>
        <w:gridCol w:w="703"/>
        <w:gridCol w:w="992"/>
      </w:tblGrid>
      <w:tr w14:paraId="01AD8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9" w:hRule="atLeast"/>
          <w:jc w:val="center"/>
        </w:trPr>
        <w:tc>
          <w:tcPr>
            <w:tcW w:w="458" w:type="pct"/>
            <w:noWrap w:val="0"/>
            <w:vAlign w:val="center"/>
          </w:tcPr>
          <w:p w14:paraId="03C6A312">
            <w:pPr>
              <w:autoSpaceDE w:val="0"/>
              <w:autoSpaceDN w:val="0"/>
              <w:adjustRightInd w:val="0"/>
              <w:spacing w:line="220" w:lineRule="exact"/>
              <w:ind w:firstLine="0" w:firstLineChars="0"/>
              <w:jc w:val="center"/>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项目</w:t>
            </w:r>
          </w:p>
        </w:tc>
        <w:tc>
          <w:tcPr>
            <w:tcW w:w="1351" w:type="pct"/>
            <w:noWrap w:val="0"/>
            <w:vAlign w:val="center"/>
          </w:tcPr>
          <w:p w14:paraId="44BA9D5D">
            <w:pPr>
              <w:autoSpaceDE w:val="0"/>
              <w:autoSpaceDN w:val="0"/>
              <w:adjustRightInd w:val="0"/>
              <w:spacing w:line="220" w:lineRule="exact"/>
              <w:ind w:firstLine="0" w:firstLineChars="0"/>
              <w:jc w:val="center"/>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pacing w:val="4"/>
                <w:kern w:val="0"/>
                <w:sz w:val="21"/>
                <w:szCs w:val="21"/>
              </w:rPr>
              <w:t>检查内容</w:t>
            </w:r>
          </w:p>
        </w:tc>
        <w:tc>
          <w:tcPr>
            <w:tcW w:w="647" w:type="pct"/>
            <w:noWrap w:val="0"/>
            <w:vAlign w:val="center"/>
          </w:tcPr>
          <w:p w14:paraId="33E50ED5">
            <w:pPr>
              <w:autoSpaceDE w:val="0"/>
              <w:autoSpaceDN w:val="0"/>
              <w:adjustRightInd w:val="0"/>
              <w:spacing w:line="220" w:lineRule="exact"/>
              <w:ind w:firstLine="0" w:firstLineChars="0"/>
              <w:jc w:val="center"/>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检查依据</w:t>
            </w:r>
          </w:p>
        </w:tc>
        <w:tc>
          <w:tcPr>
            <w:tcW w:w="521" w:type="pct"/>
            <w:noWrap w:val="0"/>
            <w:vAlign w:val="center"/>
          </w:tcPr>
          <w:p w14:paraId="7AC47836">
            <w:pPr>
              <w:autoSpaceDE w:val="0"/>
              <w:autoSpaceDN w:val="0"/>
              <w:adjustRightInd w:val="0"/>
              <w:spacing w:line="220" w:lineRule="exact"/>
              <w:ind w:firstLine="0" w:firstLineChars="0"/>
              <w:jc w:val="center"/>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检查方法及地点</w:t>
            </w:r>
          </w:p>
        </w:tc>
        <w:tc>
          <w:tcPr>
            <w:tcW w:w="591" w:type="pct"/>
            <w:noWrap w:val="0"/>
            <w:vAlign w:val="center"/>
          </w:tcPr>
          <w:p w14:paraId="0D20CED9">
            <w:pPr>
              <w:autoSpaceDE w:val="0"/>
              <w:autoSpaceDN w:val="0"/>
              <w:adjustRightInd w:val="0"/>
              <w:spacing w:line="22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检查</w:t>
            </w:r>
          </w:p>
          <w:p w14:paraId="08F6DA9F">
            <w:pPr>
              <w:autoSpaceDE w:val="0"/>
              <w:autoSpaceDN w:val="0"/>
              <w:adjustRightInd w:val="0"/>
              <w:spacing w:line="220" w:lineRule="exact"/>
              <w:ind w:firstLine="0" w:firstLineChars="0"/>
              <w:jc w:val="center"/>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sz w:val="21"/>
                <w:szCs w:val="21"/>
              </w:rPr>
              <w:t>记录</w:t>
            </w:r>
          </w:p>
        </w:tc>
        <w:tc>
          <w:tcPr>
            <w:tcW w:w="496" w:type="pct"/>
            <w:noWrap w:val="0"/>
            <w:vAlign w:val="center"/>
          </w:tcPr>
          <w:p w14:paraId="79157FF0">
            <w:pPr>
              <w:autoSpaceDE w:val="0"/>
              <w:autoSpaceDN w:val="0"/>
              <w:adjustRightInd w:val="0"/>
              <w:spacing w:line="220" w:lineRule="exact"/>
              <w:ind w:firstLine="0" w:firstLineChars="0"/>
              <w:jc w:val="center"/>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标准</w:t>
            </w:r>
          </w:p>
          <w:p w14:paraId="7DDFF7DA">
            <w:pPr>
              <w:autoSpaceDE w:val="0"/>
              <w:autoSpaceDN w:val="0"/>
              <w:adjustRightInd w:val="0"/>
              <w:spacing w:line="220" w:lineRule="exact"/>
              <w:ind w:firstLine="0" w:firstLineChars="0"/>
              <w:jc w:val="center"/>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分值</w:t>
            </w:r>
          </w:p>
        </w:tc>
        <w:tc>
          <w:tcPr>
            <w:tcW w:w="387" w:type="pct"/>
            <w:noWrap w:val="0"/>
            <w:vAlign w:val="center"/>
          </w:tcPr>
          <w:p w14:paraId="13284907">
            <w:pPr>
              <w:autoSpaceDE w:val="0"/>
              <w:autoSpaceDN w:val="0"/>
              <w:adjustRightInd w:val="0"/>
              <w:spacing w:line="220" w:lineRule="exact"/>
              <w:ind w:firstLine="0" w:firstLineChars="0"/>
              <w:jc w:val="center"/>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评分</w:t>
            </w:r>
          </w:p>
          <w:p w14:paraId="7B3DB353">
            <w:pPr>
              <w:autoSpaceDE w:val="0"/>
              <w:autoSpaceDN w:val="0"/>
              <w:adjustRightInd w:val="0"/>
              <w:spacing w:line="220" w:lineRule="exact"/>
              <w:ind w:firstLine="0" w:firstLineChars="0"/>
              <w:jc w:val="center"/>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标准</w:t>
            </w:r>
          </w:p>
        </w:tc>
        <w:tc>
          <w:tcPr>
            <w:tcW w:w="546" w:type="pct"/>
            <w:noWrap w:val="0"/>
            <w:vAlign w:val="center"/>
          </w:tcPr>
          <w:p w14:paraId="2E30035A">
            <w:pPr>
              <w:autoSpaceDE w:val="0"/>
              <w:autoSpaceDN w:val="0"/>
              <w:adjustRightInd w:val="0"/>
              <w:spacing w:line="220" w:lineRule="exact"/>
              <w:ind w:firstLine="0" w:firstLineChars="0"/>
              <w:jc w:val="center"/>
              <w:rPr>
                <w:rFonts w:hint="default" w:ascii="Times New Roman" w:hAnsi="Times New Roman" w:eastAsia="宋体" w:cs="Times New Roman"/>
                <w:bCs/>
                <w:color w:val="auto"/>
                <w:kern w:val="0"/>
                <w:sz w:val="21"/>
                <w:szCs w:val="21"/>
                <w:lang w:val="zh-CN"/>
              </w:rPr>
            </w:pPr>
            <w:r>
              <w:rPr>
                <w:rFonts w:hint="default" w:ascii="Times New Roman" w:hAnsi="Times New Roman" w:eastAsia="宋体" w:cs="Times New Roman"/>
                <w:bCs/>
                <w:color w:val="auto"/>
                <w:kern w:val="0"/>
                <w:sz w:val="21"/>
                <w:szCs w:val="21"/>
                <w:lang w:val="zh-CN"/>
              </w:rPr>
              <w:t>得分</w:t>
            </w:r>
          </w:p>
        </w:tc>
      </w:tr>
      <w:tr w14:paraId="7801A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52" w:hRule="atLeast"/>
          <w:jc w:val="center"/>
        </w:trPr>
        <w:tc>
          <w:tcPr>
            <w:tcW w:w="458" w:type="pct"/>
            <w:vMerge w:val="restart"/>
            <w:noWrap w:val="0"/>
            <w:vAlign w:val="center"/>
          </w:tcPr>
          <w:p w14:paraId="3BBF87BF">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库区</w:t>
            </w:r>
          </w:p>
          <w:p w14:paraId="3780381D">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安全</w:t>
            </w:r>
          </w:p>
        </w:tc>
        <w:tc>
          <w:tcPr>
            <w:tcW w:w="1351" w:type="pct"/>
            <w:noWrap w:val="0"/>
            <w:vAlign w:val="top"/>
          </w:tcPr>
          <w:p w14:paraId="5392AFA1">
            <w:pPr>
              <w:autoSpaceDE w:val="0"/>
              <w:autoSpaceDN w:val="0"/>
              <w:adjustRightInd w:val="0"/>
              <w:spacing w:line="240" w:lineRule="exact"/>
              <w:ind w:firstLine="0" w:firstLineChars="0"/>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1.1周边山体失稳</w:t>
            </w:r>
            <w:r>
              <w:rPr>
                <w:rFonts w:hint="eastAsia" w:ascii="Times New Roman" w:hAnsi="Times New Roman" w:cs="Times New Roman"/>
                <w:color w:val="auto"/>
                <w:kern w:val="0"/>
                <w:sz w:val="21"/>
                <w:szCs w:val="21"/>
                <w:lang w:val="zh-CN"/>
              </w:rPr>
              <w:t>，</w:t>
            </w:r>
            <w:r>
              <w:rPr>
                <w:rFonts w:hint="default" w:ascii="Times New Roman" w:hAnsi="Times New Roman" w:eastAsia="宋体" w:cs="Times New Roman"/>
                <w:color w:val="auto"/>
                <w:kern w:val="0"/>
                <w:sz w:val="21"/>
                <w:szCs w:val="21"/>
                <w:lang w:val="zh-CN"/>
              </w:rPr>
              <w:t>随时有可能滑动、坍塌影响尾矿库安全。</w:t>
            </w:r>
          </w:p>
        </w:tc>
        <w:tc>
          <w:tcPr>
            <w:tcW w:w="647" w:type="pct"/>
            <w:noWrap w:val="0"/>
            <w:vAlign w:val="center"/>
          </w:tcPr>
          <w:p w14:paraId="14D3DDD7">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《尾矿库安全规程》第9.5.2条</w:t>
            </w:r>
          </w:p>
        </w:tc>
        <w:tc>
          <w:tcPr>
            <w:tcW w:w="521" w:type="pct"/>
            <w:vMerge w:val="restart"/>
            <w:noWrap w:val="0"/>
            <w:vAlign w:val="center"/>
          </w:tcPr>
          <w:p w14:paraId="6CD82220">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查现场</w:t>
            </w:r>
          </w:p>
        </w:tc>
        <w:tc>
          <w:tcPr>
            <w:tcW w:w="591" w:type="pct"/>
            <w:noWrap w:val="0"/>
            <w:vAlign w:val="center"/>
          </w:tcPr>
          <w:p w14:paraId="218609DA">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周边山体较稳定</w:t>
            </w:r>
          </w:p>
        </w:tc>
        <w:tc>
          <w:tcPr>
            <w:tcW w:w="496" w:type="pct"/>
            <w:noWrap w:val="0"/>
            <w:vAlign w:val="center"/>
          </w:tcPr>
          <w:p w14:paraId="692E527F">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病库</w:t>
            </w:r>
          </w:p>
        </w:tc>
        <w:tc>
          <w:tcPr>
            <w:tcW w:w="387" w:type="pct"/>
            <w:noWrap w:val="0"/>
            <w:vAlign w:val="center"/>
          </w:tcPr>
          <w:p w14:paraId="4F5F84F9">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p>
        </w:tc>
        <w:tc>
          <w:tcPr>
            <w:tcW w:w="546" w:type="pct"/>
            <w:noWrap w:val="0"/>
            <w:vAlign w:val="center"/>
          </w:tcPr>
          <w:p w14:paraId="665BCEFB">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满足</w:t>
            </w:r>
          </w:p>
          <w:p w14:paraId="55B317E2">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要求</w:t>
            </w:r>
          </w:p>
        </w:tc>
      </w:tr>
      <w:tr w14:paraId="71640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96" w:hRule="atLeast"/>
          <w:jc w:val="center"/>
        </w:trPr>
        <w:tc>
          <w:tcPr>
            <w:tcW w:w="458" w:type="pct"/>
            <w:vMerge w:val="continue"/>
            <w:noWrap w:val="0"/>
            <w:vAlign w:val="center"/>
          </w:tcPr>
          <w:p w14:paraId="3663A18A">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p>
        </w:tc>
        <w:tc>
          <w:tcPr>
            <w:tcW w:w="1351" w:type="pct"/>
            <w:noWrap w:val="0"/>
            <w:vAlign w:val="top"/>
          </w:tcPr>
          <w:p w14:paraId="3CEEAC14">
            <w:pPr>
              <w:autoSpaceDE w:val="0"/>
              <w:autoSpaceDN w:val="0"/>
              <w:adjustRightInd w:val="0"/>
              <w:spacing w:line="240" w:lineRule="exact"/>
              <w:ind w:firstLine="0" w:firstLineChars="0"/>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1.2库区是否存在违章爆破、采石和建筑；违章进行尾矿回采、取水；外来尾矿、废石、废水和废弃物排入、放牧和开垦和炸鱼等危害尾矿库安全的活动。</w:t>
            </w:r>
          </w:p>
        </w:tc>
        <w:tc>
          <w:tcPr>
            <w:tcW w:w="647" w:type="pct"/>
            <w:noWrap w:val="0"/>
            <w:vAlign w:val="center"/>
          </w:tcPr>
          <w:p w14:paraId="6F260A04">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sz w:val="21"/>
                <w:szCs w:val="21"/>
              </w:rPr>
              <w:t>《尾矿库安全规程》第9.5.3条</w:t>
            </w:r>
          </w:p>
        </w:tc>
        <w:tc>
          <w:tcPr>
            <w:tcW w:w="521" w:type="pct"/>
            <w:vMerge w:val="continue"/>
            <w:noWrap w:val="0"/>
            <w:vAlign w:val="center"/>
          </w:tcPr>
          <w:p w14:paraId="10552035">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p>
        </w:tc>
        <w:tc>
          <w:tcPr>
            <w:tcW w:w="591" w:type="pct"/>
            <w:noWrap w:val="0"/>
            <w:vAlign w:val="center"/>
          </w:tcPr>
          <w:p w14:paraId="71A8D5F6">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不存在上述现象</w:t>
            </w:r>
          </w:p>
        </w:tc>
        <w:tc>
          <w:tcPr>
            <w:tcW w:w="496" w:type="pct"/>
            <w:noWrap w:val="0"/>
            <w:vAlign w:val="center"/>
          </w:tcPr>
          <w:p w14:paraId="5A7139E2">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387" w:type="pct"/>
            <w:noWrap w:val="0"/>
            <w:vAlign w:val="center"/>
          </w:tcPr>
          <w:p w14:paraId="43E93505">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不符合不得分</w:t>
            </w:r>
          </w:p>
        </w:tc>
        <w:tc>
          <w:tcPr>
            <w:tcW w:w="546" w:type="pct"/>
            <w:noWrap w:val="0"/>
            <w:vAlign w:val="center"/>
          </w:tcPr>
          <w:p w14:paraId="68FA4736">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7</w:t>
            </w:r>
          </w:p>
        </w:tc>
      </w:tr>
      <w:tr w14:paraId="22AA1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4" w:hRule="atLeast"/>
          <w:jc w:val="center"/>
        </w:trPr>
        <w:tc>
          <w:tcPr>
            <w:tcW w:w="458" w:type="pct"/>
            <w:noWrap w:val="0"/>
            <w:vAlign w:val="center"/>
          </w:tcPr>
          <w:p w14:paraId="4A325BED">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小计</w:t>
            </w:r>
          </w:p>
        </w:tc>
        <w:tc>
          <w:tcPr>
            <w:tcW w:w="1351" w:type="pct"/>
            <w:noWrap w:val="0"/>
            <w:vAlign w:val="top"/>
          </w:tcPr>
          <w:p w14:paraId="4E3A4DBC">
            <w:pPr>
              <w:autoSpaceDE w:val="0"/>
              <w:autoSpaceDN w:val="0"/>
              <w:adjustRightInd w:val="0"/>
              <w:spacing w:line="240" w:lineRule="exact"/>
              <w:ind w:firstLine="0" w:firstLineChars="0"/>
              <w:rPr>
                <w:rFonts w:hint="default" w:ascii="Times New Roman" w:hAnsi="Times New Roman" w:eastAsia="宋体" w:cs="Times New Roman"/>
                <w:color w:val="auto"/>
                <w:kern w:val="0"/>
                <w:sz w:val="21"/>
                <w:szCs w:val="21"/>
                <w:lang w:val="zh-CN"/>
              </w:rPr>
            </w:pPr>
          </w:p>
        </w:tc>
        <w:tc>
          <w:tcPr>
            <w:tcW w:w="647" w:type="pct"/>
            <w:noWrap w:val="0"/>
            <w:vAlign w:val="center"/>
          </w:tcPr>
          <w:p w14:paraId="10448163">
            <w:pPr>
              <w:autoSpaceDE w:val="0"/>
              <w:autoSpaceDN w:val="0"/>
              <w:adjustRightInd w:val="0"/>
              <w:spacing w:line="240" w:lineRule="exact"/>
              <w:ind w:firstLine="0" w:firstLineChars="0"/>
              <w:jc w:val="center"/>
              <w:rPr>
                <w:rFonts w:hint="default" w:ascii="Times New Roman" w:hAnsi="Times New Roman" w:eastAsia="宋体" w:cs="Times New Roman"/>
                <w:color w:val="auto"/>
                <w:sz w:val="21"/>
                <w:szCs w:val="21"/>
              </w:rPr>
            </w:pPr>
          </w:p>
        </w:tc>
        <w:tc>
          <w:tcPr>
            <w:tcW w:w="521" w:type="pct"/>
            <w:noWrap w:val="0"/>
            <w:vAlign w:val="center"/>
          </w:tcPr>
          <w:p w14:paraId="19A2C2A0">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p>
        </w:tc>
        <w:tc>
          <w:tcPr>
            <w:tcW w:w="591" w:type="pct"/>
            <w:noWrap w:val="0"/>
            <w:vAlign w:val="center"/>
          </w:tcPr>
          <w:p w14:paraId="35381F54">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p>
        </w:tc>
        <w:tc>
          <w:tcPr>
            <w:tcW w:w="496" w:type="pct"/>
            <w:noWrap w:val="0"/>
            <w:vAlign w:val="center"/>
          </w:tcPr>
          <w:p w14:paraId="6FB5098D">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r>
              <w:rPr>
                <w:rFonts w:hint="default" w:ascii="Times New Roman" w:hAnsi="Times New Roman" w:eastAsia="宋体" w:cs="Times New Roman"/>
                <w:color w:val="auto"/>
                <w:kern w:val="0"/>
                <w:sz w:val="21"/>
                <w:szCs w:val="21"/>
                <w:lang w:val="zh-CN"/>
              </w:rPr>
              <w:t>7</w:t>
            </w:r>
          </w:p>
        </w:tc>
        <w:tc>
          <w:tcPr>
            <w:tcW w:w="387" w:type="pct"/>
            <w:noWrap w:val="0"/>
            <w:vAlign w:val="center"/>
          </w:tcPr>
          <w:p w14:paraId="79948EFC">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rPr>
            </w:pPr>
          </w:p>
        </w:tc>
        <w:tc>
          <w:tcPr>
            <w:tcW w:w="546" w:type="pct"/>
            <w:noWrap w:val="0"/>
            <w:vAlign w:val="center"/>
          </w:tcPr>
          <w:p w14:paraId="17296ABC">
            <w:pPr>
              <w:autoSpaceDE w:val="0"/>
              <w:autoSpaceDN w:val="0"/>
              <w:adjustRightInd w:val="0"/>
              <w:spacing w:line="240" w:lineRule="exact"/>
              <w:ind w:firstLine="0" w:firstLineChars="0"/>
              <w:jc w:val="center"/>
              <w:rPr>
                <w:rFonts w:hint="default" w:ascii="Times New Roman" w:hAnsi="Times New Roman" w:eastAsia="宋体" w:cs="Times New Roman"/>
                <w:color w:val="auto"/>
                <w:kern w:val="0"/>
                <w:sz w:val="21"/>
                <w:szCs w:val="21"/>
                <w:lang w:val="zh-CN" w:eastAsia="zh-CN"/>
              </w:rPr>
            </w:pPr>
            <w:r>
              <w:rPr>
                <w:rFonts w:hint="default" w:ascii="Times New Roman" w:hAnsi="Times New Roman" w:cs="Times New Roman"/>
                <w:color w:val="auto"/>
                <w:kern w:val="0"/>
                <w:sz w:val="21"/>
                <w:szCs w:val="21"/>
                <w:lang w:val="en-US" w:eastAsia="zh-CN"/>
              </w:rPr>
              <w:t>7</w:t>
            </w:r>
          </w:p>
        </w:tc>
      </w:tr>
    </w:tbl>
    <w:p w14:paraId="50B94EB3">
      <w:pPr>
        <w:pStyle w:val="5"/>
        <w:bidi w:val="0"/>
        <w:rPr>
          <w:rFonts w:hint="default" w:ascii="Times New Roman" w:hAnsi="Times New Roman" w:cs="Times New Roman"/>
          <w:color w:val="auto"/>
          <w:lang w:val="en-US" w:eastAsia="zh-CN"/>
        </w:rPr>
      </w:pPr>
      <w:bookmarkStart w:id="199" w:name="_Toc20949"/>
      <w:r>
        <w:rPr>
          <w:rFonts w:hint="default" w:ascii="Times New Roman" w:hAnsi="Times New Roman" w:cs="Times New Roman"/>
          <w:color w:val="auto"/>
          <w:lang w:val="en-US" w:eastAsia="zh-CN"/>
        </w:rPr>
        <w:t>5.5.2 评价单元小结</w:t>
      </w:r>
      <w:bookmarkEnd w:id="199"/>
    </w:p>
    <w:p w14:paraId="171FFF64">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（1）经现场检查</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江西临川鲁金矿业有限公司茅排金矿庄前尾矿库周边山体稳定</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无滑动、坍塌等影响尾矿库安全情况</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不存在违章爆破、采石、取水以及外来尾矿、废石、废水和废弃物排入、放牧和开垦和炸鱼等危害尾矿库安全的活动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尾矿库周边环境、安全状况良好</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符合规程规范要求。</w:t>
      </w:r>
    </w:p>
    <w:p w14:paraId="7E19A33F">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（2）经采用安全检查表法评判</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江西临川鲁金矿业有限公司茅排金矿庄前尾矿库库区环境单元应得分7分</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实际得分7分</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得分率为100%</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库区环境单元符合安全要求。</w:t>
      </w:r>
    </w:p>
    <w:p w14:paraId="15E06430">
      <w:pPr>
        <w:pStyle w:val="4"/>
        <w:bidi w:val="0"/>
        <w:rPr>
          <w:rFonts w:hint="default" w:ascii="Times New Roman" w:hAnsi="Times New Roman" w:cs="Times New Roman"/>
          <w:color w:val="auto"/>
          <w:lang w:val="en-US" w:eastAsia="zh-CN"/>
        </w:rPr>
      </w:pPr>
      <w:bookmarkStart w:id="200" w:name="_Toc3236"/>
      <w:r>
        <w:rPr>
          <w:rFonts w:hint="default" w:ascii="Times New Roman" w:hAnsi="Times New Roman" w:cs="Times New Roman"/>
          <w:color w:val="auto"/>
          <w:lang w:val="en-US" w:eastAsia="zh-CN"/>
        </w:rPr>
        <w:t>5.6综合安全评价</w:t>
      </w:r>
      <w:bookmarkEnd w:id="200"/>
    </w:p>
    <w:p w14:paraId="67C57AB1">
      <w:pPr>
        <w:pStyle w:val="5"/>
        <w:bidi w:val="0"/>
        <w:rPr>
          <w:rFonts w:hint="default" w:ascii="Times New Roman" w:hAnsi="Times New Roman" w:cs="Times New Roman"/>
          <w:color w:val="auto"/>
          <w:lang w:val="en-US" w:eastAsia="zh-CN"/>
        </w:rPr>
      </w:pPr>
      <w:bookmarkStart w:id="201" w:name="_Toc4580"/>
      <w:r>
        <w:rPr>
          <w:rFonts w:hint="default" w:ascii="Times New Roman" w:hAnsi="Times New Roman" w:cs="Times New Roman"/>
          <w:color w:val="auto"/>
          <w:lang w:val="en-US" w:eastAsia="zh-CN"/>
        </w:rPr>
        <w:t>5.6.1概述</w:t>
      </w:r>
      <w:bookmarkEnd w:id="201"/>
    </w:p>
    <w:p w14:paraId="32D4D563">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采用安全检查表分析法对江西临川鲁金矿业有限公司茅排金矿庄前尾矿库各系统的综合安全状况进行检查、评价</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并对各项检查内容赋予了分值。然后依据尾矿库所得分值</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将尾矿库分成四个安全等级</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以此来确定尾矿库的安全生产现状。</w:t>
      </w:r>
    </w:p>
    <w:p w14:paraId="20472810">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cs="Times New Roman"/>
          <w:color w:val="auto"/>
          <w:sz w:val="28"/>
        </w:rPr>
      </w:pPr>
      <w:r>
        <w:rPr>
          <w:rFonts w:hint="default" w:ascii="Times New Roman" w:hAnsi="Times New Roman" w:cs="Times New Roman"/>
          <w:color w:val="auto"/>
          <w:sz w:val="28"/>
        </w:rPr>
        <w:t>表5</w:t>
      </w:r>
      <w:r>
        <w:rPr>
          <w:rFonts w:hint="default" w:ascii="Times New Roman" w:hAnsi="Times New Roman" w:cs="Times New Roman"/>
          <w:color w:val="auto"/>
          <w:sz w:val="28"/>
          <w:lang w:val="en-US" w:eastAsia="zh-CN"/>
        </w:rPr>
        <w:t>.6.1-1</w:t>
      </w:r>
      <w:r>
        <w:rPr>
          <w:rFonts w:hint="default" w:ascii="Times New Roman" w:hAnsi="Times New Roman" w:cs="Times New Roman"/>
          <w:color w:val="auto"/>
          <w:sz w:val="28"/>
        </w:rPr>
        <w:t>尾矿库综合安全检查评分统计表</w:t>
      </w:r>
    </w:p>
    <w:tbl>
      <w:tblPr>
        <w:tblStyle w:val="17"/>
        <w:tblW w:w="0" w:type="auto"/>
        <w:tblInd w:w="1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3412"/>
        <w:gridCol w:w="1615"/>
        <w:gridCol w:w="1615"/>
        <w:gridCol w:w="1474"/>
      </w:tblGrid>
      <w:tr w14:paraId="346E6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noWrap w:val="0"/>
            <w:vAlign w:val="center"/>
          </w:tcPr>
          <w:p w14:paraId="317DF9DF">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序号</w:t>
            </w:r>
          </w:p>
        </w:tc>
        <w:tc>
          <w:tcPr>
            <w:tcW w:w="3412" w:type="dxa"/>
            <w:noWrap w:val="0"/>
            <w:vAlign w:val="center"/>
          </w:tcPr>
          <w:p w14:paraId="6BAEB041">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评价单元</w:t>
            </w:r>
          </w:p>
        </w:tc>
        <w:tc>
          <w:tcPr>
            <w:tcW w:w="1615" w:type="dxa"/>
            <w:noWrap w:val="0"/>
            <w:vAlign w:val="center"/>
          </w:tcPr>
          <w:p w14:paraId="6E1357BE">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应得分</w:t>
            </w:r>
          </w:p>
        </w:tc>
        <w:tc>
          <w:tcPr>
            <w:tcW w:w="1615" w:type="dxa"/>
            <w:noWrap w:val="0"/>
            <w:vAlign w:val="center"/>
          </w:tcPr>
          <w:p w14:paraId="6B45201A">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实得分</w:t>
            </w:r>
          </w:p>
        </w:tc>
        <w:tc>
          <w:tcPr>
            <w:tcW w:w="1474" w:type="dxa"/>
            <w:noWrap w:val="0"/>
            <w:vAlign w:val="center"/>
          </w:tcPr>
          <w:p w14:paraId="12509326">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得分率（%）</w:t>
            </w:r>
          </w:p>
        </w:tc>
      </w:tr>
      <w:tr w14:paraId="2C197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50" w:type="dxa"/>
            <w:noWrap w:val="0"/>
            <w:vAlign w:val="center"/>
          </w:tcPr>
          <w:p w14:paraId="452636F9">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3412" w:type="dxa"/>
            <w:noWrap w:val="0"/>
            <w:vAlign w:val="center"/>
          </w:tcPr>
          <w:p w14:paraId="075F7B73">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安全管理单元</w:t>
            </w:r>
          </w:p>
        </w:tc>
        <w:tc>
          <w:tcPr>
            <w:tcW w:w="1615" w:type="dxa"/>
            <w:noWrap w:val="0"/>
            <w:vAlign w:val="center"/>
          </w:tcPr>
          <w:p w14:paraId="071D7BA9">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5</w:t>
            </w:r>
            <w:r>
              <w:rPr>
                <w:rFonts w:hint="default" w:ascii="Times New Roman" w:hAnsi="Times New Roman" w:cs="Times New Roman"/>
                <w:color w:val="auto"/>
                <w:szCs w:val="21"/>
                <w:lang w:val="en-US" w:eastAsia="zh-CN"/>
              </w:rPr>
              <w:t>1</w:t>
            </w:r>
          </w:p>
        </w:tc>
        <w:tc>
          <w:tcPr>
            <w:tcW w:w="1615" w:type="dxa"/>
            <w:noWrap w:val="0"/>
            <w:vAlign w:val="center"/>
          </w:tcPr>
          <w:p w14:paraId="5A9D3F83">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34</w:t>
            </w:r>
          </w:p>
        </w:tc>
        <w:tc>
          <w:tcPr>
            <w:tcW w:w="1474" w:type="dxa"/>
            <w:noWrap w:val="0"/>
            <w:vAlign w:val="center"/>
          </w:tcPr>
          <w:p w14:paraId="3E819E71">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66.67</w:t>
            </w:r>
          </w:p>
        </w:tc>
      </w:tr>
      <w:tr w14:paraId="7D2C3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50" w:type="dxa"/>
            <w:noWrap w:val="0"/>
            <w:vAlign w:val="center"/>
          </w:tcPr>
          <w:p w14:paraId="714EF6C9">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3412" w:type="dxa"/>
            <w:noWrap w:val="0"/>
            <w:vAlign w:val="center"/>
          </w:tcPr>
          <w:p w14:paraId="249A8E95">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尾矿坝单元</w:t>
            </w:r>
          </w:p>
        </w:tc>
        <w:tc>
          <w:tcPr>
            <w:tcW w:w="1615" w:type="dxa"/>
            <w:noWrap w:val="0"/>
            <w:vAlign w:val="center"/>
          </w:tcPr>
          <w:p w14:paraId="21C9239F">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44</w:t>
            </w:r>
          </w:p>
        </w:tc>
        <w:tc>
          <w:tcPr>
            <w:tcW w:w="1615" w:type="dxa"/>
            <w:noWrap w:val="0"/>
            <w:vAlign w:val="center"/>
          </w:tcPr>
          <w:p w14:paraId="4FE59387">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42</w:t>
            </w:r>
          </w:p>
        </w:tc>
        <w:tc>
          <w:tcPr>
            <w:tcW w:w="1474" w:type="dxa"/>
            <w:noWrap w:val="0"/>
            <w:vAlign w:val="center"/>
          </w:tcPr>
          <w:p w14:paraId="3E49A281">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95.45</w:t>
            </w:r>
          </w:p>
        </w:tc>
      </w:tr>
      <w:tr w14:paraId="04B4F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noWrap w:val="0"/>
            <w:vAlign w:val="center"/>
          </w:tcPr>
          <w:p w14:paraId="61FBEA05">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3412" w:type="dxa"/>
            <w:noWrap w:val="0"/>
            <w:vAlign w:val="center"/>
          </w:tcPr>
          <w:p w14:paraId="7B1A174C">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防排洪系统单元</w:t>
            </w:r>
          </w:p>
        </w:tc>
        <w:tc>
          <w:tcPr>
            <w:tcW w:w="1615" w:type="dxa"/>
            <w:noWrap w:val="0"/>
            <w:vAlign w:val="center"/>
          </w:tcPr>
          <w:p w14:paraId="134E9503">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w:t>
            </w:r>
            <w:r>
              <w:rPr>
                <w:rFonts w:hint="eastAsia" w:ascii="Times New Roman" w:hAnsi="Times New Roman" w:cs="Times New Roman"/>
                <w:color w:val="auto"/>
                <w:szCs w:val="21"/>
                <w:lang w:val="en-US" w:eastAsia="zh-CN"/>
              </w:rPr>
              <w:t>3</w:t>
            </w:r>
          </w:p>
        </w:tc>
        <w:tc>
          <w:tcPr>
            <w:tcW w:w="1615" w:type="dxa"/>
            <w:noWrap w:val="0"/>
            <w:vAlign w:val="center"/>
          </w:tcPr>
          <w:p w14:paraId="7E3FC715">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26</w:t>
            </w:r>
          </w:p>
        </w:tc>
        <w:tc>
          <w:tcPr>
            <w:tcW w:w="1474" w:type="dxa"/>
            <w:noWrap w:val="0"/>
            <w:vAlign w:val="center"/>
          </w:tcPr>
          <w:p w14:paraId="3A29265D">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78.79</w:t>
            </w:r>
          </w:p>
        </w:tc>
      </w:tr>
      <w:tr w14:paraId="402DA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50" w:type="dxa"/>
            <w:noWrap w:val="0"/>
            <w:vAlign w:val="center"/>
          </w:tcPr>
          <w:p w14:paraId="053607D9">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3412" w:type="dxa"/>
            <w:noWrap w:val="0"/>
            <w:vAlign w:val="center"/>
          </w:tcPr>
          <w:p w14:paraId="4B8E2EAC">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库区环境单元</w:t>
            </w:r>
          </w:p>
        </w:tc>
        <w:tc>
          <w:tcPr>
            <w:tcW w:w="1615" w:type="dxa"/>
            <w:noWrap w:val="0"/>
            <w:vAlign w:val="center"/>
          </w:tcPr>
          <w:p w14:paraId="6AF80E40">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1615" w:type="dxa"/>
            <w:noWrap w:val="0"/>
            <w:vAlign w:val="center"/>
          </w:tcPr>
          <w:p w14:paraId="05C1E27A">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1474" w:type="dxa"/>
            <w:noWrap w:val="0"/>
            <w:vAlign w:val="center"/>
          </w:tcPr>
          <w:p w14:paraId="1CECCA64">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100</w:t>
            </w:r>
          </w:p>
        </w:tc>
      </w:tr>
      <w:tr w14:paraId="1982F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50" w:type="dxa"/>
            <w:noWrap w:val="0"/>
            <w:vAlign w:val="center"/>
          </w:tcPr>
          <w:p w14:paraId="208C7AC6">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合计</w:t>
            </w:r>
          </w:p>
        </w:tc>
        <w:tc>
          <w:tcPr>
            <w:tcW w:w="3412" w:type="dxa"/>
            <w:noWrap w:val="0"/>
            <w:vAlign w:val="center"/>
          </w:tcPr>
          <w:p w14:paraId="5E58C40F">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cs="Times New Roman"/>
                <w:color w:val="auto"/>
                <w:szCs w:val="21"/>
              </w:rPr>
            </w:pPr>
          </w:p>
        </w:tc>
        <w:tc>
          <w:tcPr>
            <w:tcW w:w="1615" w:type="dxa"/>
            <w:noWrap w:val="0"/>
            <w:vAlign w:val="center"/>
          </w:tcPr>
          <w:p w14:paraId="2CDFA8C2">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13</w:t>
            </w:r>
            <w:r>
              <w:rPr>
                <w:rFonts w:hint="eastAsia" w:ascii="Times New Roman" w:hAnsi="Times New Roman" w:cs="Times New Roman"/>
                <w:color w:val="auto"/>
                <w:szCs w:val="21"/>
                <w:lang w:val="en-US" w:eastAsia="zh-CN"/>
              </w:rPr>
              <w:t>5</w:t>
            </w:r>
          </w:p>
        </w:tc>
        <w:tc>
          <w:tcPr>
            <w:tcW w:w="1615" w:type="dxa"/>
            <w:noWrap w:val="0"/>
            <w:vAlign w:val="center"/>
          </w:tcPr>
          <w:p w14:paraId="393EA02D">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109</w:t>
            </w:r>
          </w:p>
        </w:tc>
        <w:tc>
          <w:tcPr>
            <w:tcW w:w="1474" w:type="dxa"/>
            <w:noWrap w:val="0"/>
            <w:vAlign w:val="center"/>
          </w:tcPr>
          <w:p w14:paraId="2DCA69A9">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80.74</w:t>
            </w:r>
          </w:p>
        </w:tc>
      </w:tr>
    </w:tbl>
    <w:p w14:paraId="49288296">
      <w:pPr>
        <w:pStyle w:val="5"/>
        <w:bidi w:val="0"/>
        <w:rPr>
          <w:rFonts w:hint="default" w:ascii="Times New Roman" w:hAnsi="Times New Roman" w:cs="Times New Roman"/>
          <w:color w:val="auto"/>
        </w:rPr>
      </w:pPr>
      <w:bookmarkStart w:id="202" w:name="_Toc15463"/>
      <w:bookmarkStart w:id="203" w:name="_Toc3726"/>
      <w:r>
        <w:rPr>
          <w:rFonts w:hint="default" w:ascii="Times New Roman" w:hAnsi="Times New Roman" w:cs="Times New Roman"/>
          <w:color w:val="auto"/>
        </w:rPr>
        <w:t>5.6.2评价标准说明</w:t>
      </w:r>
      <w:bookmarkEnd w:id="202"/>
      <w:bookmarkEnd w:id="203"/>
    </w:p>
    <w:p w14:paraId="4832B6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表5</w:t>
      </w:r>
      <w:r>
        <w:rPr>
          <w:rFonts w:hint="default" w:ascii="Times New Roman" w:hAnsi="Times New Roman" w:eastAsia="宋体" w:cs="Times New Roman"/>
          <w:color w:val="auto"/>
          <w:lang w:val="en-US" w:eastAsia="zh-CN"/>
        </w:rPr>
        <w:t>.6.1-2</w:t>
      </w:r>
      <w:r>
        <w:rPr>
          <w:rFonts w:hint="default" w:ascii="Times New Roman" w:hAnsi="Times New Roman" w:eastAsia="宋体" w:cs="Times New Roman"/>
          <w:color w:val="auto"/>
          <w:lang w:eastAsia="zh-CN"/>
        </w:rPr>
        <w:t>评价标准说明见表</w:t>
      </w:r>
    </w:p>
    <w:tbl>
      <w:tblPr>
        <w:tblStyle w:val="17"/>
        <w:tblW w:w="5345"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0" w:type="dxa"/>
          <w:bottom w:w="0" w:type="dxa"/>
          <w:right w:w="0" w:type="dxa"/>
        </w:tblCellMar>
      </w:tblPr>
      <w:tblGrid>
        <w:gridCol w:w="787"/>
        <w:gridCol w:w="6567"/>
        <w:gridCol w:w="2340"/>
      </w:tblGrid>
      <w:tr w14:paraId="66A902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475" w:hRule="atLeast"/>
          <w:jc w:val="center"/>
        </w:trPr>
        <w:tc>
          <w:tcPr>
            <w:tcW w:w="406" w:type="pct"/>
            <w:tcBorders>
              <w:top w:val="single" w:color="000000" w:sz="2" w:space="0"/>
              <w:left w:val="single" w:color="auto" w:sz="4" w:space="0"/>
              <w:bottom w:val="single" w:color="000000" w:sz="2" w:space="0"/>
              <w:right w:val="single" w:color="000000" w:sz="2" w:space="0"/>
            </w:tcBorders>
            <w:noWrap w:val="0"/>
            <w:vAlign w:val="center"/>
          </w:tcPr>
          <w:p w14:paraId="0A02349E">
            <w:pPr>
              <w:widowControl/>
              <w:spacing w:line="30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br w:type="page"/>
            </w:r>
            <w:r>
              <w:rPr>
                <w:rFonts w:hint="default" w:ascii="Times New Roman" w:hAnsi="Times New Roman" w:eastAsia="宋体" w:cs="Times New Roman"/>
                <w:color w:val="auto"/>
                <w:sz w:val="21"/>
                <w:szCs w:val="21"/>
              </w:rPr>
              <w:br w:type="page"/>
            </w:r>
            <w:r>
              <w:rPr>
                <w:rFonts w:hint="default" w:ascii="Times New Roman" w:hAnsi="Times New Roman" w:eastAsia="宋体" w:cs="Times New Roman"/>
                <w:color w:val="auto"/>
                <w:sz w:val="21"/>
                <w:szCs w:val="21"/>
              </w:rPr>
              <w:br w:type="page"/>
            </w:r>
            <w:r>
              <w:rPr>
                <w:rFonts w:hint="default" w:ascii="Times New Roman" w:hAnsi="Times New Roman" w:eastAsia="宋体" w:cs="Times New Roman"/>
                <w:color w:val="auto"/>
                <w:kern w:val="0"/>
                <w:sz w:val="21"/>
                <w:szCs w:val="21"/>
              </w:rPr>
              <w:t>类型</w:t>
            </w:r>
          </w:p>
        </w:tc>
        <w:tc>
          <w:tcPr>
            <w:tcW w:w="3386" w:type="pct"/>
            <w:tcBorders>
              <w:top w:val="single" w:color="000000" w:sz="2" w:space="0"/>
              <w:left w:val="single" w:color="auto" w:sz="4" w:space="0"/>
              <w:bottom w:val="single" w:color="000000" w:sz="2" w:space="0"/>
              <w:right w:val="single" w:color="000000" w:sz="2" w:space="0"/>
            </w:tcBorders>
            <w:noWrap w:val="0"/>
            <w:vAlign w:val="center"/>
          </w:tcPr>
          <w:p w14:paraId="182CB9C5">
            <w:pPr>
              <w:widowControl/>
              <w:spacing w:line="30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概念</w:t>
            </w:r>
          </w:p>
        </w:tc>
        <w:tc>
          <w:tcPr>
            <w:tcW w:w="1206" w:type="pct"/>
            <w:tcBorders>
              <w:top w:val="single" w:color="000000" w:sz="2" w:space="0"/>
              <w:left w:val="single" w:color="auto" w:sz="4" w:space="0"/>
              <w:bottom w:val="single" w:color="000000" w:sz="2" w:space="0"/>
              <w:right w:val="single" w:color="000000" w:sz="2" w:space="0"/>
            </w:tcBorders>
            <w:noWrap w:val="0"/>
            <w:vAlign w:val="center"/>
          </w:tcPr>
          <w:p w14:paraId="04A4F49F">
            <w:pPr>
              <w:widowControl/>
              <w:spacing w:line="30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条件</w:t>
            </w:r>
          </w:p>
        </w:tc>
      </w:tr>
      <w:tr w14:paraId="7424E5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23" w:hRule="atLeast"/>
          <w:jc w:val="center"/>
        </w:trPr>
        <w:tc>
          <w:tcPr>
            <w:tcW w:w="406" w:type="pct"/>
            <w:tcBorders>
              <w:top w:val="single" w:color="auto" w:sz="4" w:space="0"/>
              <w:left w:val="single" w:color="auto" w:sz="4" w:space="0"/>
              <w:bottom w:val="single" w:color="000000" w:sz="2" w:space="0"/>
              <w:right w:val="single" w:color="000000" w:sz="2" w:space="0"/>
            </w:tcBorders>
            <w:noWrap w:val="0"/>
            <w:vAlign w:val="center"/>
          </w:tcPr>
          <w:p w14:paraId="7D1EF927">
            <w:pPr>
              <w:widowControl/>
              <w:spacing w:line="30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A类库</w:t>
            </w:r>
          </w:p>
        </w:tc>
        <w:tc>
          <w:tcPr>
            <w:tcW w:w="3386" w:type="pct"/>
            <w:tcBorders>
              <w:top w:val="single" w:color="auto" w:sz="4" w:space="0"/>
              <w:left w:val="single" w:color="auto" w:sz="4" w:space="0"/>
              <w:bottom w:val="single" w:color="000000" w:sz="2" w:space="0"/>
              <w:right w:val="single" w:color="000000" w:sz="2" w:space="0"/>
            </w:tcBorders>
            <w:noWrap w:val="0"/>
            <w:vAlign w:val="center"/>
          </w:tcPr>
          <w:p w14:paraId="4D63CEF9">
            <w:pPr>
              <w:widowControl/>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安全生产条件较好</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生产活动有安全保障。</w:t>
            </w:r>
          </w:p>
        </w:tc>
        <w:tc>
          <w:tcPr>
            <w:tcW w:w="1206" w:type="pct"/>
            <w:tcBorders>
              <w:top w:val="single" w:color="auto" w:sz="4" w:space="0"/>
              <w:left w:val="single" w:color="auto" w:sz="4" w:space="0"/>
              <w:bottom w:val="single" w:color="000000" w:sz="2" w:space="0"/>
              <w:right w:val="single" w:color="000000" w:sz="2" w:space="0"/>
            </w:tcBorders>
            <w:noWrap w:val="0"/>
            <w:vAlign w:val="center"/>
          </w:tcPr>
          <w:p w14:paraId="3D007C47">
            <w:pPr>
              <w:widowControl/>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得分率在90%以上</w:t>
            </w:r>
          </w:p>
        </w:tc>
      </w:tr>
      <w:tr w14:paraId="6E867E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406" w:type="pct"/>
            <w:tcBorders>
              <w:top w:val="single" w:color="auto" w:sz="4" w:space="0"/>
              <w:left w:val="single" w:color="auto" w:sz="4" w:space="0"/>
              <w:bottom w:val="single" w:color="000000" w:sz="2" w:space="0"/>
              <w:right w:val="single" w:color="000000" w:sz="2" w:space="0"/>
            </w:tcBorders>
            <w:noWrap w:val="0"/>
            <w:vAlign w:val="center"/>
          </w:tcPr>
          <w:p w14:paraId="1E4B948A">
            <w:pPr>
              <w:widowControl/>
              <w:spacing w:line="30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B类库</w:t>
            </w:r>
          </w:p>
        </w:tc>
        <w:tc>
          <w:tcPr>
            <w:tcW w:w="3386" w:type="pct"/>
            <w:tcBorders>
              <w:top w:val="single" w:color="auto" w:sz="4" w:space="0"/>
              <w:left w:val="single" w:color="auto" w:sz="4" w:space="0"/>
              <w:bottom w:val="single" w:color="000000" w:sz="2" w:space="0"/>
              <w:right w:val="single" w:color="000000" w:sz="2" w:space="0"/>
            </w:tcBorders>
            <w:noWrap w:val="0"/>
            <w:vAlign w:val="center"/>
          </w:tcPr>
          <w:p w14:paraId="12B4334D">
            <w:pPr>
              <w:widowControl/>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安全生产条件一般</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能满足基本的安全生产活动。</w:t>
            </w:r>
          </w:p>
        </w:tc>
        <w:tc>
          <w:tcPr>
            <w:tcW w:w="1206" w:type="pct"/>
            <w:tcBorders>
              <w:top w:val="single" w:color="auto" w:sz="4" w:space="0"/>
              <w:left w:val="single" w:color="auto" w:sz="4" w:space="0"/>
              <w:bottom w:val="single" w:color="000000" w:sz="2" w:space="0"/>
              <w:right w:val="single" w:color="000000" w:sz="2" w:space="0"/>
            </w:tcBorders>
            <w:noWrap w:val="0"/>
            <w:vAlign w:val="center"/>
          </w:tcPr>
          <w:p w14:paraId="237A6B5F">
            <w:pPr>
              <w:widowControl/>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得分率在76%～89%之间</w:t>
            </w:r>
          </w:p>
        </w:tc>
      </w:tr>
      <w:tr w14:paraId="7D0015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31" w:hRule="atLeast"/>
          <w:jc w:val="center"/>
        </w:trPr>
        <w:tc>
          <w:tcPr>
            <w:tcW w:w="406" w:type="pct"/>
            <w:tcBorders>
              <w:top w:val="single" w:color="auto" w:sz="4" w:space="0"/>
              <w:left w:val="single" w:color="auto" w:sz="4" w:space="0"/>
              <w:bottom w:val="single" w:color="auto" w:sz="4" w:space="0"/>
              <w:right w:val="single" w:color="000000" w:sz="2" w:space="0"/>
            </w:tcBorders>
            <w:noWrap w:val="0"/>
            <w:vAlign w:val="center"/>
          </w:tcPr>
          <w:p w14:paraId="56415D26">
            <w:pPr>
              <w:widowControl/>
              <w:spacing w:line="30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rPr>
              <w:br w:type="page"/>
            </w:r>
            <w:r>
              <w:rPr>
                <w:rFonts w:hint="default" w:ascii="Times New Roman" w:hAnsi="Times New Roman" w:eastAsia="宋体" w:cs="Times New Roman"/>
                <w:color w:val="auto"/>
                <w:kern w:val="0"/>
                <w:sz w:val="21"/>
                <w:szCs w:val="21"/>
              </w:rPr>
              <w:t>C类库</w:t>
            </w:r>
          </w:p>
        </w:tc>
        <w:tc>
          <w:tcPr>
            <w:tcW w:w="3386" w:type="pct"/>
            <w:tcBorders>
              <w:top w:val="single" w:color="auto" w:sz="4" w:space="0"/>
              <w:left w:val="single" w:color="auto" w:sz="4" w:space="0"/>
              <w:bottom w:val="single" w:color="000000" w:sz="2" w:space="0"/>
              <w:right w:val="single" w:color="000000" w:sz="2" w:space="0"/>
            </w:tcBorders>
            <w:noWrap w:val="0"/>
            <w:vAlign w:val="center"/>
          </w:tcPr>
          <w:p w14:paraId="29AE9B75">
            <w:pPr>
              <w:widowControl/>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安全生产条件较差</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不能完全保证安全生产活动</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需要限期整改。</w:t>
            </w:r>
          </w:p>
        </w:tc>
        <w:tc>
          <w:tcPr>
            <w:tcW w:w="1206" w:type="pct"/>
            <w:tcBorders>
              <w:top w:val="single" w:color="auto" w:sz="4" w:space="0"/>
              <w:left w:val="single" w:color="auto" w:sz="4" w:space="0"/>
              <w:bottom w:val="single" w:color="000000" w:sz="2" w:space="0"/>
              <w:right w:val="single" w:color="000000" w:sz="2" w:space="0"/>
            </w:tcBorders>
            <w:noWrap w:val="0"/>
            <w:vAlign w:val="center"/>
          </w:tcPr>
          <w:p w14:paraId="2458950C">
            <w:pPr>
              <w:widowControl/>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得分率在60%～75%之间</w:t>
            </w:r>
          </w:p>
        </w:tc>
      </w:tr>
      <w:tr w14:paraId="67E4AE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436" w:hRule="atLeast"/>
          <w:jc w:val="center"/>
        </w:trPr>
        <w:tc>
          <w:tcPr>
            <w:tcW w:w="406" w:type="pct"/>
            <w:tcBorders>
              <w:top w:val="single" w:color="auto" w:sz="4" w:space="0"/>
              <w:left w:val="single" w:color="auto" w:sz="4" w:space="0"/>
              <w:bottom w:val="single" w:color="auto" w:sz="4" w:space="0"/>
              <w:right w:val="single" w:color="000000" w:sz="2" w:space="0"/>
            </w:tcBorders>
            <w:noWrap w:val="0"/>
            <w:vAlign w:val="center"/>
          </w:tcPr>
          <w:p w14:paraId="77648067">
            <w:pPr>
              <w:widowControl/>
              <w:spacing w:line="30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D类库</w:t>
            </w:r>
          </w:p>
        </w:tc>
        <w:tc>
          <w:tcPr>
            <w:tcW w:w="3386" w:type="pct"/>
            <w:tcBorders>
              <w:top w:val="single" w:color="auto" w:sz="4" w:space="0"/>
              <w:left w:val="single" w:color="auto" w:sz="4" w:space="0"/>
              <w:bottom w:val="single" w:color="auto" w:sz="4" w:space="0"/>
              <w:right w:val="single" w:color="000000" w:sz="2" w:space="0"/>
            </w:tcBorders>
            <w:noWrap w:val="0"/>
            <w:vAlign w:val="center"/>
          </w:tcPr>
          <w:p w14:paraId="6DC41428">
            <w:pPr>
              <w:widowControl/>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不具备基本的安全生产条件</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或未通过验收</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需要责令停产整顿的尾矿库。</w:t>
            </w:r>
          </w:p>
        </w:tc>
        <w:tc>
          <w:tcPr>
            <w:tcW w:w="1206" w:type="pct"/>
            <w:tcBorders>
              <w:top w:val="single" w:color="auto" w:sz="4" w:space="0"/>
              <w:left w:val="single" w:color="auto" w:sz="4" w:space="0"/>
              <w:bottom w:val="single" w:color="auto" w:sz="4" w:space="0"/>
              <w:right w:val="single" w:color="000000" w:sz="2" w:space="0"/>
            </w:tcBorders>
            <w:noWrap w:val="0"/>
            <w:vAlign w:val="center"/>
          </w:tcPr>
          <w:p w14:paraId="76F1A267">
            <w:pPr>
              <w:widowControl/>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得分率在60%以下</w:t>
            </w:r>
          </w:p>
        </w:tc>
      </w:tr>
      <w:tr w14:paraId="2BB90E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87" w:hRule="atLeast"/>
          <w:jc w:val="center"/>
        </w:trPr>
        <w:tc>
          <w:tcPr>
            <w:tcW w:w="406" w:type="pct"/>
            <w:tcBorders>
              <w:top w:val="single" w:color="auto" w:sz="4" w:space="0"/>
              <w:left w:val="single" w:color="auto" w:sz="4" w:space="0"/>
              <w:bottom w:val="single" w:color="auto" w:sz="4" w:space="0"/>
              <w:right w:val="single" w:color="000000" w:sz="2" w:space="0"/>
            </w:tcBorders>
            <w:noWrap w:val="0"/>
            <w:vAlign w:val="center"/>
          </w:tcPr>
          <w:p w14:paraId="06758AFF">
            <w:pPr>
              <w:spacing w:line="300" w:lineRule="exact"/>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备注</w:t>
            </w:r>
          </w:p>
        </w:tc>
        <w:tc>
          <w:tcPr>
            <w:tcW w:w="3386" w:type="pct"/>
            <w:tcBorders>
              <w:top w:val="single" w:color="auto" w:sz="4" w:space="0"/>
              <w:left w:val="single" w:color="auto" w:sz="4" w:space="0"/>
              <w:bottom w:val="single" w:color="000000" w:sz="2" w:space="0"/>
              <w:right w:val="single" w:color="000000" w:sz="2" w:space="0"/>
            </w:tcBorders>
            <w:noWrap w:val="0"/>
            <w:vAlign w:val="center"/>
          </w:tcPr>
          <w:p w14:paraId="732094EE">
            <w:pPr>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1.表中带 “*” 号的项目为否决项：达不到“**”项目要求的</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归为D类库；达不到“*” 号项目要求的</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归为C类库。</w:t>
            </w:r>
          </w:p>
          <w:p w14:paraId="6311B30C">
            <w:pPr>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2.本表评价内容</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采用百分制。</w:t>
            </w:r>
          </w:p>
          <w:p w14:paraId="120FD714">
            <w:pPr>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3.尾矿库分类</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采用得分率。因尾矿库型式不同</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没有涉及的项目</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可不予评估</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总分为实际评价项目的分值总和。最后得分采用得分率</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即：实际评价得分÷实际评价项目的分值总和×100%.</w:t>
            </w:r>
          </w:p>
          <w:p w14:paraId="2CF2057A">
            <w:pPr>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4.评价方法及扣分尺度</w:t>
            </w:r>
            <w:r>
              <w:rPr>
                <w:rFonts w:hint="eastAsia"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评价人员根据实际情况具体掌握。</w:t>
            </w:r>
          </w:p>
        </w:tc>
        <w:tc>
          <w:tcPr>
            <w:tcW w:w="1206" w:type="pct"/>
            <w:tcBorders>
              <w:top w:val="single" w:color="auto" w:sz="4" w:space="0"/>
              <w:left w:val="single" w:color="auto" w:sz="4" w:space="0"/>
              <w:bottom w:val="single" w:color="000000" w:sz="2" w:space="0"/>
              <w:right w:val="single" w:color="000000" w:sz="2" w:space="0"/>
            </w:tcBorders>
            <w:noWrap w:val="0"/>
            <w:vAlign w:val="center"/>
          </w:tcPr>
          <w:p w14:paraId="18944CC5">
            <w:pPr>
              <w:spacing w:line="300" w:lineRule="exact"/>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标准分120分</w:t>
            </w:r>
          </w:p>
        </w:tc>
      </w:tr>
    </w:tbl>
    <w:p w14:paraId="20D52B9A">
      <w:pPr>
        <w:pStyle w:val="5"/>
        <w:bidi w:val="0"/>
        <w:rPr>
          <w:rFonts w:hint="default" w:ascii="Times New Roman" w:hAnsi="Times New Roman" w:cs="Times New Roman"/>
          <w:color w:val="auto"/>
          <w:lang w:val="en-US" w:eastAsia="zh-CN"/>
        </w:rPr>
      </w:pPr>
      <w:bookmarkStart w:id="204" w:name="_Toc11008"/>
      <w:r>
        <w:rPr>
          <w:rFonts w:hint="default" w:ascii="Times New Roman" w:hAnsi="Times New Roman" w:cs="Times New Roman"/>
          <w:color w:val="auto"/>
          <w:lang w:val="en-US" w:eastAsia="zh-CN"/>
        </w:rPr>
        <w:t>5.6.3评价小结</w:t>
      </w:r>
      <w:bookmarkEnd w:id="204"/>
    </w:p>
    <w:p w14:paraId="0975111B">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（1）经采用安全检查表评价</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江西临川鲁金矿业有限公司茅排金矿庄前尾矿库综合得分率</w:t>
      </w:r>
      <w:r>
        <w:rPr>
          <w:rFonts w:hint="eastAsia" w:ascii="Times New Roman" w:hAnsi="Times New Roman" w:cs="Times New Roman"/>
          <w:color w:val="auto"/>
          <w:lang w:val="en-US" w:eastAsia="zh-CN"/>
        </w:rPr>
        <w:t>80.74</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为</w:t>
      </w:r>
      <w:r>
        <w:rPr>
          <w:rFonts w:hint="eastAsia" w:ascii="Times New Roman" w:hAnsi="Times New Roman" w:cs="Times New Roman"/>
          <w:color w:val="auto"/>
          <w:lang w:val="en-US" w:eastAsia="zh-CN"/>
        </w:rPr>
        <w:t>B</w:t>
      </w:r>
      <w:r>
        <w:rPr>
          <w:rFonts w:hint="default" w:ascii="Times New Roman" w:hAnsi="Times New Roman" w:cs="Times New Roman"/>
          <w:color w:val="auto"/>
          <w:lang w:val="en-US" w:eastAsia="zh-CN"/>
        </w:rPr>
        <w:t>类库</w:t>
      </w:r>
      <w:r>
        <w:rPr>
          <w:rFonts w:hint="eastAsia" w:ascii="Times New Roman" w:hAnsi="Times New Roman" w:cs="Times New Roman"/>
          <w:color w:val="auto"/>
          <w:lang w:val="en-US" w:eastAsia="zh-CN"/>
        </w:rPr>
        <w:t>，属于</w:t>
      </w:r>
      <w:r>
        <w:rPr>
          <w:rFonts w:hint="default" w:ascii="Times New Roman" w:hAnsi="Times New Roman" w:cs="Times New Roman"/>
          <w:color w:val="auto"/>
          <w:lang w:val="en-US" w:eastAsia="zh-CN"/>
        </w:rPr>
        <w:t>安全生产条件一般</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能满足基本的安全生产活动</w:t>
      </w:r>
      <w:r>
        <w:rPr>
          <w:rFonts w:hint="eastAsia" w:ascii="Times New Roman" w:hAnsi="Times New Roman" w:cs="Times New Roman"/>
          <w:color w:val="auto"/>
          <w:lang w:val="en-US" w:eastAsia="zh-CN"/>
        </w:rPr>
        <w:t>的尾矿库</w:t>
      </w:r>
      <w:r>
        <w:rPr>
          <w:rFonts w:hint="default" w:ascii="Times New Roman" w:hAnsi="Times New Roman" w:cs="Times New Roman"/>
          <w:color w:val="auto"/>
          <w:lang w:val="en-US" w:eastAsia="zh-CN"/>
        </w:rPr>
        <w:t>。</w:t>
      </w:r>
    </w:p>
    <w:p w14:paraId="6C0C768D">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14:paraId="0D7142C8">
      <w:pPr>
        <w:pStyle w:val="3"/>
        <w:bidi w:val="0"/>
        <w:rPr>
          <w:rFonts w:hint="default" w:ascii="Times New Roman" w:hAnsi="Times New Roman" w:cs="Times New Roman"/>
          <w:color w:val="auto"/>
          <w:lang w:val="en-US" w:eastAsia="zh-CN"/>
        </w:rPr>
      </w:pPr>
      <w:bookmarkStart w:id="205" w:name="_Toc14150"/>
      <w:r>
        <w:rPr>
          <w:rFonts w:hint="default" w:ascii="Times New Roman" w:hAnsi="Times New Roman" w:cs="Times New Roman"/>
          <w:color w:val="auto"/>
          <w:lang w:val="en-US" w:eastAsia="zh-CN"/>
        </w:rPr>
        <w:t>6尾矿库安全对策措施建议</w:t>
      </w:r>
      <w:bookmarkEnd w:id="205"/>
    </w:p>
    <w:p w14:paraId="7A826283">
      <w:pPr>
        <w:pStyle w:val="4"/>
        <w:bidi w:val="0"/>
        <w:rPr>
          <w:rFonts w:hint="default"/>
          <w:lang w:val="en-US" w:eastAsia="zh-CN"/>
        </w:rPr>
      </w:pPr>
      <w:bookmarkStart w:id="206" w:name="_Toc25297"/>
      <w:r>
        <w:rPr>
          <w:rFonts w:hint="default"/>
          <w:lang w:val="en-US" w:eastAsia="zh-CN"/>
        </w:rPr>
        <w:t>6.1安全管理单元的安全对策措施</w:t>
      </w:r>
      <w:bookmarkEnd w:id="206"/>
    </w:p>
    <w:p w14:paraId="622F173F">
      <w:pPr>
        <w:bidi w:val="0"/>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矿方应按相关法律法规要求保存尾矿库交接班记录及汇总隐患排查记录。</w:t>
      </w:r>
    </w:p>
    <w:p w14:paraId="6CFF0F0D">
      <w:pPr>
        <w:bidi w:val="0"/>
        <w:rPr>
          <w:rFonts w:hint="default" w:ascii="Times New Roman" w:hAnsi="Times New Roman" w:cs="Times New Roman"/>
          <w:color w:val="auto"/>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要高度重视尾矿库的安全生产管理工作，要认识到设计是基础、施工是保证管理是关键的关系。管理十分重要，设计的要求靠管理实现，设计中的不</w:t>
      </w:r>
      <w:r>
        <w:rPr>
          <w:rFonts w:hint="default" w:ascii="Times New Roman" w:hAnsi="Times New Roman" w:cs="Times New Roman"/>
          <w:color w:val="auto"/>
          <w:lang w:val="en-US" w:eastAsia="zh-CN"/>
        </w:rPr>
        <w:t>足靠管理弥补，没有预料的一些问题也要靠管理发现和修正，从而保证尾矿库安全。重视管理、加强管理、针对目前状况尤为必要。</w:t>
      </w:r>
    </w:p>
    <w:p w14:paraId="4DEBAAAD">
      <w:pPr>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3.企业应建立完整的安全生产管理台账，按照一人一档的要求建立安全生产教育培训档案。</w:t>
      </w:r>
    </w:p>
    <w:p w14:paraId="31F912C8">
      <w:pPr>
        <w:pStyle w:val="2"/>
        <w:rPr>
          <w:rFonts w:hint="default"/>
          <w:lang w:val="en-US" w:eastAsia="zh-CN"/>
        </w:rPr>
      </w:pPr>
      <w:r>
        <w:rPr>
          <w:rFonts w:hint="eastAsia" w:ascii="Times New Roman" w:hAnsi="Times New Roman" w:cs="Times New Roman"/>
          <w:color w:val="auto"/>
          <w:lang w:val="en-US" w:eastAsia="zh-CN"/>
        </w:rPr>
        <w:t>4.企业应尽快为入职人员完善入职事宜，并按规定缴纳工伤保险。</w:t>
      </w:r>
    </w:p>
    <w:p w14:paraId="5065F452">
      <w:pPr>
        <w:pStyle w:val="4"/>
        <w:bidi w:val="0"/>
        <w:rPr>
          <w:rFonts w:hint="default"/>
          <w:lang w:val="en-US" w:eastAsia="zh-CN"/>
        </w:rPr>
      </w:pPr>
      <w:bookmarkStart w:id="207" w:name="_Toc20362"/>
      <w:r>
        <w:rPr>
          <w:rFonts w:hint="default"/>
          <w:lang w:val="en-US" w:eastAsia="zh-CN"/>
        </w:rPr>
        <w:t>6.2 尾矿坝单元的安全对策措施</w:t>
      </w:r>
      <w:bookmarkEnd w:id="207"/>
    </w:p>
    <w:p w14:paraId="45D284C0">
      <w:pPr>
        <w:bidi w:val="0"/>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尾矿坝的茅草应定期进行清理。</w:t>
      </w:r>
    </w:p>
    <w:p w14:paraId="3817DB53">
      <w:pPr>
        <w:bidi w:val="0"/>
        <w:rPr>
          <w:rFonts w:hint="default"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尾矿坝前尾砂不能超过溢洪道进水口+231.0m高程。</w:t>
      </w:r>
    </w:p>
    <w:p w14:paraId="50FC8852">
      <w:pPr>
        <w:bidi w:val="0"/>
        <w:rPr>
          <w:rFonts w:hint="default" w:ascii="Times New Roman" w:hAnsi="Times New Roman" w:cs="Times New Roman"/>
          <w:lang w:val="en-US" w:eastAsia="zh-CN"/>
        </w:rPr>
      </w:pPr>
      <w:r>
        <w:rPr>
          <w:rFonts w:hint="default" w:ascii="Times New Roman" w:hAnsi="Times New Roman" w:cs="Times New Roman"/>
          <w:lang w:val="en-US" w:eastAsia="zh-CN"/>
        </w:rPr>
        <w:t>3</w:t>
      </w:r>
      <w:r>
        <w:rPr>
          <w:rFonts w:hint="eastAsia" w:ascii="Times New Roman" w:hAnsi="Times New Roman" w:cs="Times New Roman"/>
          <w:lang w:val="en-US" w:eastAsia="zh-CN"/>
        </w:rPr>
        <w:t>.</w:t>
      </w:r>
      <w:r>
        <w:rPr>
          <w:rFonts w:hint="default" w:ascii="Times New Roman" w:hAnsi="Times New Roman" w:cs="Times New Roman"/>
          <w:lang w:val="en-US" w:eastAsia="zh-CN"/>
        </w:rPr>
        <w:t>尾砂不应超过设计尾砂堆积高程。</w:t>
      </w:r>
    </w:p>
    <w:p w14:paraId="25E27F3C">
      <w:pPr>
        <w:pStyle w:val="4"/>
        <w:bidi w:val="0"/>
        <w:rPr>
          <w:rFonts w:hint="default"/>
          <w:lang w:val="en-US" w:eastAsia="zh-CN"/>
        </w:rPr>
      </w:pPr>
      <w:bookmarkStart w:id="208" w:name="_Toc23046"/>
      <w:r>
        <w:rPr>
          <w:rFonts w:hint="default"/>
          <w:lang w:val="en-US" w:eastAsia="zh-CN"/>
        </w:rPr>
        <w:t>6.3 安全观测设施单元的安全对策措施</w:t>
      </w:r>
      <w:bookmarkEnd w:id="208"/>
    </w:p>
    <w:p w14:paraId="697657CF">
      <w:pPr>
        <w:bidi w:val="0"/>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尾矿库验收后运行以来，未见矿方位移观测数据，矿方应将人工监测过程中的坝体位移观测数据记录存档。</w:t>
      </w:r>
    </w:p>
    <w:p w14:paraId="4B48EBC5">
      <w:pPr>
        <w:bidi w:val="0"/>
        <w:rPr>
          <w:rFonts w:hint="default" w:ascii="Times New Roman" w:hAnsi="Times New Roman" w:cs="Times New Roman"/>
          <w:color w:val="auto"/>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加强</w:t>
      </w:r>
      <w:r>
        <w:rPr>
          <w:rFonts w:hint="eastAsia" w:ascii="Times New Roman" w:hAnsi="Times New Roman" w:cs="Times New Roman"/>
          <w:lang w:val="en-US" w:eastAsia="zh-CN"/>
        </w:rPr>
        <w:t>监</w:t>
      </w:r>
      <w:r>
        <w:rPr>
          <w:rFonts w:hint="default" w:ascii="Times New Roman" w:hAnsi="Times New Roman" w:cs="Times New Roman"/>
          <w:lang w:val="en-US" w:eastAsia="zh-CN"/>
        </w:rPr>
        <w:t>测设施的维护</w:t>
      </w:r>
      <w:r>
        <w:rPr>
          <w:rFonts w:hint="eastAsia" w:ascii="Times New Roman" w:hAnsi="Times New Roman" w:cs="Times New Roman"/>
          <w:lang w:val="en-US" w:eastAsia="zh-CN"/>
        </w:rPr>
        <w:t>，对于已损坏的设备进行及时更换</w:t>
      </w:r>
      <w:r>
        <w:rPr>
          <w:rFonts w:hint="default" w:ascii="Times New Roman" w:hAnsi="Times New Roman" w:cs="Times New Roman"/>
          <w:lang w:val="en-US" w:eastAsia="zh-CN"/>
        </w:rPr>
        <w:t>。</w:t>
      </w:r>
    </w:p>
    <w:p w14:paraId="3FE39577">
      <w:pPr>
        <w:pStyle w:val="4"/>
        <w:bidi w:val="0"/>
        <w:rPr>
          <w:rFonts w:hint="default"/>
          <w:lang w:val="en-US" w:eastAsia="zh-CN"/>
        </w:rPr>
      </w:pPr>
      <w:bookmarkStart w:id="209" w:name="_Toc11400"/>
      <w:r>
        <w:rPr>
          <w:rFonts w:hint="default"/>
          <w:lang w:val="en-US" w:eastAsia="zh-CN"/>
        </w:rPr>
        <w:t>6.4 排洪系统单元的安全对策措施</w:t>
      </w:r>
      <w:bookmarkEnd w:id="209"/>
    </w:p>
    <w:p w14:paraId="3C557813">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溢洪道右侧山坡</w:t>
      </w:r>
      <w:r>
        <w:rPr>
          <w:rFonts w:hint="eastAsia" w:ascii="Times New Roman" w:hAnsi="Times New Roman" w:cs="Times New Roman"/>
          <w:color w:val="auto"/>
          <w:lang w:val="en-US" w:eastAsia="zh-CN"/>
        </w:rPr>
        <w:t>应</w:t>
      </w:r>
      <w:r>
        <w:rPr>
          <w:rFonts w:hint="default" w:ascii="Times New Roman" w:hAnsi="Times New Roman" w:cs="Times New Roman"/>
          <w:color w:val="auto"/>
          <w:lang w:val="en-US" w:eastAsia="zh-CN"/>
        </w:rPr>
        <w:t>设置防止土石滑落的安全设施或定期清理滑落的土石。</w:t>
      </w:r>
    </w:p>
    <w:p w14:paraId="50A22B83">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eastAsia" w:ascii="Times New Roman" w:hAnsi="Times New Roman" w:cs="Times New Roman"/>
          <w:color w:val="auto"/>
          <w:lang w:val="en-US" w:eastAsia="zh-CN"/>
        </w:rPr>
        <w:t>.建议延长放矿管，将放矿地点移至坝体右侧，利于溢流水的充分沉降，并尽量远离溢洪道。</w:t>
      </w:r>
    </w:p>
    <w:p w14:paraId="37A4D56B">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加强排洪系统的日常巡查，发现安全隐患应及时处理。</w:t>
      </w:r>
    </w:p>
    <w:p w14:paraId="3F3D0B5F">
      <w:pP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w:t>
      </w:r>
      <w:r>
        <w:rPr>
          <w:rFonts w:hint="default" w:ascii="Times New Roman" w:hAnsi="Times New Roman" w:cs="Times New Roman"/>
          <w:color w:val="auto"/>
          <w:lang w:val="en-US" w:eastAsia="zh-CN"/>
        </w:rPr>
        <w:t>为防止坝前尾砂沉积过快而导至溢洪道口跑砂建议采取下列措施：</w:t>
      </w:r>
    </w:p>
    <w:p w14:paraId="187FEFEE">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①合理排放矿区域尽量不让尾砂向溢洪道出水口方向排放；</w:t>
      </w:r>
    </w:p>
    <w:p w14:paraId="39AD0390">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②增设拦挡设施加长尾砂沉降距离不让尾砂向溢洪道出水口方向沉降；</w:t>
      </w:r>
    </w:p>
    <w:p w14:paraId="127C6427">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③采取措施将溢洪道进水口前的坝前砂向库内低地扒运，将尾砂沉积高程降低。</w:t>
      </w:r>
    </w:p>
    <w:p w14:paraId="34B329EF">
      <w:pPr>
        <w:pStyle w:val="2"/>
        <w:rPr>
          <w:rFonts w:hint="default"/>
          <w:color w:val="auto"/>
          <w:lang w:val="en-US" w:eastAsia="zh-CN"/>
        </w:rPr>
      </w:pPr>
      <w:r>
        <w:rPr>
          <w:rFonts w:hint="default"/>
          <w:color w:val="auto"/>
          <w:lang w:val="en-US" w:eastAsia="zh-CN"/>
        </w:rPr>
        <w:t>④</w:t>
      </w:r>
      <w:r>
        <w:rPr>
          <w:rFonts w:hint="eastAsia"/>
          <w:color w:val="auto"/>
          <w:lang w:val="en-US" w:eastAsia="zh-CN"/>
        </w:rPr>
        <w:t>盖板之间应采用水泥砂浆密实，防止尾砂泄露。</w:t>
      </w:r>
    </w:p>
    <w:p w14:paraId="288E06DD">
      <w:pPr>
        <w:pStyle w:val="4"/>
        <w:bidi w:val="0"/>
        <w:rPr>
          <w:rFonts w:hint="default" w:ascii="Times New Roman" w:hAnsi="Times New Roman" w:cs="Times New Roman"/>
          <w:color w:val="auto"/>
          <w:lang w:val="en-US" w:eastAsia="zh-CN"/>
        </w:rPr>
      </w:pPr>
      <w:bookmarkStart w:id="210" w:name="_Toc29518"/>
      <w:r>
        <w:rPr>
          <w:rFonts w:hint="default"/>
          <w:lang w:val="en-US" w:eastAsia="zh-CN"/>
        </w:rPr>
        <w:t>6.5 安全辅助设施单元的安全对策措施</w:t>
      </w:r>
      <w:bookmarkEnd w:id="210"/>
    </w:p>
    <w:p w14:paraId="274E025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尾矿库警示牌及标示牌应定期维护及更新。</w:t>
      </w:r>
    </w:p>
    <w:p w14:paraId="155F020C">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eastAsia" w:ascii="Times New Roman" w:hAnsi="Times New Roman" w:cs="Times New Roman"/>
          <w:color w:val="auto"/>
          <w:lang w:val="en-US" w:eastAsia="zh-CN"/>
        </w:rPr>
        <w:t>.建议配备充足的应急救援物资，并设置专门的储存库进行存放</w:t>
      </w:r>
      <w:r>
        <w:rPr>
          <w:rFonts w:hint="default" w:ascii="Times New Roman" w:hAnsi="Times New Roman" w:cs="Times New Roman"/>
          <w:color w:val="auto"/>
          <w:lang w:val="en-US" w:eastAsia="zh-CN"/>
        </w:rPr>
        <w:t>。</w:t>
      </w:r>
    </w:p>
    <w:p w14:paraId="74349DAC">
      <w:pP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3.建议清理值班房内无关杂物。</w:t>
      </w:r>
    </w:p>
    <w:p w14:paraId="2B97CF0B">
      <w:pPr>
        <w:pStyle w:val="4"/>
        <w:bidi w:val="0"/>
        <w:rPr>
          <w:rFonts w:hint="default"/>
          <w:lang w:val="en-US" w:eastAsia="zh-CN"/>
        </w:rPr>
      </w:pPr>
      <w:bookmarkStart w:id="211" w:name="_Toc26510"/>
      <w:r>
        <w:rPr>
          <w:rFonts w:hint="default"/>
          <w:lang w:val="en-US" w:eastAsia="zh-CN"/>
        </w:rPr>
        <w:t>6.6 库区及周边条件规定</w:t>
      </w:r>
      <w:bookmarkEnd w:id="211"/>
    </w:p>
    <w:p w14:paraId="047257AE">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严禁在尾矿库内和库区周围进行乱采、滥挖和非法爆破等。</w:t>
      </w:r>
    </w:p>
    <w:p w14:paraId="788D0504">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14:paraId="79859217">
      <w:pPr>
        <w:pStyle w:val="3"/>
        <w:bidi w:val="0"/>
        <w:spacing w:line="240" w:lineRule="auto"/>
        <w:rPr>
          <w:rFonts w:hint="default" w:ascii="Times New Roman" w:hAnsi="Times New Roman" w:cs="Times New Roman"/>
          <w:color w:val="auto"/>
        </w:rPr>
      </w:pPr>
      <w:bookmarkStart w:id="212" w:name="_Toc520296043"/>
      <w:bookmarkStart w:id="213" w:name="_Toc14772"/>
      <w:bookmarkStart w:id="214" w:name="_Toc26312"/>
      <w:r>
        <w:rPr>
          <w:rFonts w:hint="eastAsia" w:cs="Times New Roman"/>
          <w:color w:val="auto"/>
          <w:lang w:val="en-US" w:eastAsia="zh-CN"/>
        </w:rPr>
        <w:t>7</w:t>
      </w:r>
      <w:r>
        <w:rPr>
          <w:rFonts w:hint="default" w:ascii="Times New Roman" w:hAnsi="Times New Roman" w:cs="Times New Roman"/>
          <w:color w:val="auto"/>
        </w:rPr>
        <w:t>安全评价结论</w:t>
      </w:r>
      <w:bookmarkEnd w:id="212"/>
      <w:bookmarkEnd w:id="213"/>
      <w:bookmarkEnd w:id="214"/>
    </w:p>
    <w:p w14:paraId="3D0D3F61">
      <w:pPr>
        <w:spacing w:line="600" w:lineRule="exact"/>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本次评价根据国家已颁布的有关安全生产法律、法规及相关文件精神</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本着科学、公正、合法、自主的原则对</w:t>
      </w:r>
      <w:r>
        <w:rPr>
          <w:rFonts w:hint="default" w:ascii="Times New Roman" w:hAnsi="Times New Roman" w:cs="Times New Roman"/>
          <w:color w:val="auto"/>
          <w:lang w:val="en-US" w:eastAsia="zh-CN"/>
        </w:rPr>
        <w:t>江西临川鲁金矿业有限公司茅排金矿庄前尾矿库</w:t>
      </w:r>
      <w:r>
        <w:rPr>
          <w:rFonts w:hint="default" w:ascii="Times New Roman" w:hAnsi="Times New Roman" w:cs="Times New Roman"/>
          <w:color w:val="auto"/>
          <w:sz w:val="28"/>
          <w:szCs w:val="28"/>
        </w:rPr>
        <w:t>存在的主要危险、有害因素的种类及危害程度进行了分析</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对导致该尾矿库重大事故的危险、有害因素进行定性、定量评价</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rPr>
        <w:t>得出如下结论：</w:t>
      </w:r>
    </w:p>
    <w:p w14:paraId="2FBC5ACA">
      <w:pPr>
        <w:bidi w:val="0"/>
        <w:rPr>
          <w:rFonts w:hint="default" w:ascii="Times New Roman" w:hAnsi="Times New Roman" w:cs="Times New Roman"/>
          <w:color w:val="auto"/>
          <w:lang w:eastAsia="zh-CN"/>
        </w:rPr>
      </w:pPr>
      <w:r>
        <w:rPr>
          <w:rFonts w:hint="eastAsia" w:ascii="Times New Roman" w:hAnsi="Times New Roman" w:cs="Times New Roman"/>
          <w:color w:val="auto"/>
          <w:lang w:val="en-US" w:eastAsia="zh-CN"/>
        </w:rPr>
        <w:t>1.</w:t>
      </w:r>
      <w:r>
        <w:rPr>
          <w:rFonts w:hint="default" w:ascii="Times New Roman" w:hAnsi="Times New Roman" w:cs="Times New Roman"/>
          <w:color w:val="auto"/>
          <w:lang w:val="en-US" w:eastAsia="zh-CN"/>
        </w:rPr>
        <w:t>江西临川鲁金矿业有限公司茅排金矿庄前尾矿库可能存在：滑坡（坝坡失稳）</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渗漏</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排水、泄洪构筑物破坏</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裂缝</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淹溺</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高处坠落</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库区山体滑坡、塌方和泥石流</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不良环境因素及其他因素造成的病害。</w:t>
      </w:r>
      <w:r>
        <w:rPr>
          <w:rFonts w:hint="default" w:ascii="Times New Roman" w:hAnsi="Times New Roman" w:cs="Times New Roman"/>
          <w:color w:val="auto"/>
          <w:lang w:eastAsia="zh-CN"/>
        </w:rPr>
        <w:t>其中山体滑坡、库区山体滑坡、塌方和泥石流会引发重大安全事故</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有可能造成重大人员伤亡和财产损失以及环境污染</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属于重大危险有害因素</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虽然发生的可能性相对较小</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应引起高度重视。</w:t>
      </w:r>
    </w:p>
    <w:p w14:paraId="4218C7C3">
      <w:pPr>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w:t>
      </w:r>
      <w:r>
        <w:rPr>
          <w:rFonts w:hint="default" w:ascii="Times New Roman" w:hAnsi="Times New Roman" w:cs="Times New Roman"/>
          <w:color w:val="auto"/>
          <w:lang w:val="en-US" w:eastAsia="zh-CN"/>
        </w:rPr>
        <w:t>.江西临川鲁金矿业有限公司茅排金矿庄前尾矿库</w:t>
      </w:r>
      <w:r>
        <w:rPr>
          <w:rFonts w:hint="eastAsia" w:ascii="Times New Roman" w:hAnsi="Times New Roman" w:cs="Times New Roman"/>
          <w:color w:val="auto"/>
          <w:lang w:val="en-US" w:eastAsia="zh-CN"/>
        </w:rPr>
        <w:t>暂不属于重大危险源；不存在</w:t>
      </w:r>
      <w:r>
        <w:rPr>
          <w:rFonts w:hint="default" w:ascii="Times New Roman" w:hAnsi="Times New Roman" w:cs="Times New Roman"/>
          <w:color w:val="auto"/>
          <w:lang w:val="en-US" w:eastAsia="zh-CN"/>
        </w:rPr>
        <w:t>重大事故隐患</w:t>
      </w:r>
      <w:r>
        <w:rPr>
          <w:rFonts w:hint="default" w:ascii="Times New Roman" w:hAnsi="Times New Roman" w:cs="Times New Roman"/>
          <w:color w:val="auto"/>
          <w:lang w:eastAsia="zh-CN"/>
        </w:rPr>
        <w:t>。</w:t>
      </w:r>
    </w:p>
    <w:p w14:paraId="61B06494">
      <w:pPr>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江西临川鲁金矿业有限公司茅排金矿庄前尾矿库</w:t>
      </w:r>
      <w:r>
        <w:rPr>
          <w:rFonts w:hint="eastAsia" w:ascii="Times New Roman" w:hAnsi="Times New Roman" w:cs="Times New Roman"/>
          <w:color w:val="auto"/>
          <w:lang w:val="en-US" w:eastAsia="zh-CN"/>
        </w:rPr>
        <w:t>尾矿坝符合设计要求；经稳定性分析，</w:t>
      </w:r>
      <w:r>
        <w:rPr>
          <w:rFonts w:hint="default" w:ascii="Times New Roman" w:hAnsi="Times New Roman" w:cs="Times New Roman"/>
          <w:color w:val="auto"/>
          <w:lang w:val="en-US" w:eastAsia="zh-CN"/>
        </w:rPr>
        <w:t>尾矿坝在不同运行条件下均满足规范要求</w:t>
      </w:r>
      <w:r>
        <w:rPr>
          <w:rFonts w:hint="eastAsia" w:ascii="Times New Roman" w:hAnsi="Times New Roman" w:cs="Times New Roman"/>
          <w:color w:val="auto"/>
          <w:lang w:val="en-US" w:eastAsia="zh-CN"/>
        </w:rPr>
        <w:t>。</w:t>
      </w:r>
    </w:p>
    <w:p w14:paraId="0734798A">
      <w:pPr>
        <w:bidi w:val="0"/>
        <w:rPr>
          <w:rFonts w:hint="default" w:ascii="Times New Roman" w:hAnsi="Times New Roman" w:cs="Times New Roman"/>
          <w:color w:val="auto"/>
        </w:rPr>
      </w:pPr>
      <w:r>
        <w:rPr>
          <w:rFonts w:hint="eastAsia" w:ascii="Times New Roman" w:hAnsi="Times New Roman" w:cs="Times New Roman"/>
          <w:color w:val="auto"/>
          <w:lang w:val="en-US" w:eastAsia="zh-CN"/>
        </w:rPr>
        <w:t>4</w:t>
      </w:r>
      <w:r>
        <w:rPr>
          <w:rFonts w:hint="default" w:ascii="Times New Roman" w:hAnsi="Times New Roman" w:cs="Times New Roman"/>
          <w:color w:val="auto"/>
          <w:lang w:val="en-US" w:eastAsia="zh-CN"/>
        </w:rPr>
        <w:t>.江西临川鲁金矿业有限公司茅排金矿庄前尾矿库</w:t>
      </w:r>
      <w:r>
        <w:rPr>
          <w:rFonts w:hint="eastAsia" w:ascii="Times New Roman" w:hAnsi="Times New Roman" w:cs="Times New Roman"/>
          <w:color w:val="auto"/>
          <w:lang w:val="en-US" w:eastAsia="zh-CN"/>
        </w:rPr>
        <w:t>排洪排水构筑物符合设计要求</w:t>
      </w:r>
      <w:r>
        <w:rPr>
          <w:rFonts w:hint="default" w:ascii="Times New Roman" w:hAnsi="Times New Roman" w:cs="Times New Roman"/>
          <w:color w:val="auto"/>
          <w:lang w:val="en-US" w:eastAsia="zh-CN"/>
        </w:rPr>
        <w:t>。</w:t>
      </w:r>
    </w:p>
    <w:p w14:paraId="5FA073CD">
      <w:pPr>
        <w:bidi w:val="0"/>
        <w:rPr>
          <w:rFonts w:hint="default" w:ascii="Times New Roman" w:hAnsi="Times New Roman" w:cs="Times New Roman"/>
          <w:color w:val="auto"/>
          <w:lang w:eastAsia="zh-CN"/>
        </w:rPr>
      </w:pPr>
      <w:r>
        <w:rPr>
          <w:rFonts w:hint="eastAsia" w:ascii="Times New Roman" w:hAnsi="Times New Roman" w:cs="Times New Roman"/>
          <w:color w:val="auto"/>
          <w:lang w:val="en-US" w:eastAsia="zh-CN"/>
        </w:rPr>
        <w:t>5</w:t>
      </w:r>
      <w:r>
        <w:rPr>
          <w:rFonts w:hint="default" w:ascii="Times New Roman" w:hAnsi="Times New Roman" w:cs="Times New Roman"/>
          <w:color w:val="auto"/>
          <w:lang w:val="en-US" w:eastAsia="zh-CN"/>
        </w:rPr>
        <w:t>.</w:t>
      </w:r>
      <w:r>
        <w:rPr>
          <w:rFonts w:hint="default" w:ascii="Times New Roman" w:hAnsi="Times New Roman" w:cs="Times New Roman"/>
          <w:color w:val="auto"/>
          <w:lang w:eastAsia="zh-CN"/>
        </w:rPr>
        <w:t>经现场检查</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江西临川鲁金矿业有限公司茅排金矿庄前尾矿库</w:t>
      </w:r>
      <w:r>
        <w:rPr>
          <w:rFonts w:hint="eastAsia" w:ascii="Times New Roman" w:hAnsi="Times New Roman" w:cs="Times New Roman"/>
          <w:color w:val="auto"/>
          <w:lang w:val="en-US" w:eastAsia="zh-CN"/>
        </w:rPr>
        <w:t>安全监测设施</w:t>
      </w:r>
      <w:r>
        <w:rPr>
          <w:rFonts w:hint="default" w:ascii="Times New Roman" w:hAnsi="Times New Roman" w:cs="Times New Roman"/>
          <w:color w:val="auto"/>
          <w:lang w:eastAsia="zh-CN"/>
        </w:rPr>
        <w:t>符合规程规范要求。</w:t>
      </w:r>
    </w:p>
    <w:p w14:paraId="09085F63">
      <w:pPr>
        <w:bidi w:val="0"/>
        <w:rPr>
          <w:rFonts w:hint="default" w:ascii="Times New Roman" w:hAnsi="Times New Roman" w:cs="Times New Roman"/>
          <w:color w:val="auto"/>
          <w:lang w:eastAsia="zh-CN"/>
        </w:rPr>
      </w:pPr>
      <w:r>
        <w:rPr>
          <w:rFonts w:hint="eastAsia" w:ascii="Times New Roman" w:hAnsi="Times New Roman" w:cs="Times New Roman"/>
          <w:color w:val="auto"/>
          <w:lang w:val="en-US" w:eastAsia="zh-CN"/>
        </w:rPr>
        <w:t>6</w:t>
      </w:r>
      <w:r>
        <w:rPr>
          <w:rFonts w:hint="default" w:ascii="Times New Roman" w:hAnsi="Times New Roman" w:cs="Times New Roman"/>
          <w:color w:val="auto"/>
          <w:lang w:val="en-US" w:eastAsia="zh-CN"/>
        </w:rPr>
        <w:t>.</w:t>
      </w:r>
      <w:r>
        <w:rPr>
          <w:rFonts w:hint="default" w:ascii="Times New Roman" w:hAnsi="Times New Roman" w:cs="Times New Roman"/>
          <w:color w:val="auto"/>
          <w:lang w:eastAsia="zh-CN"/>
        </w:rPr>
        <w:t>经现场检查</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江西临川鲁金矿业有限公司茅排金矿庄前尾矿库周边山体稳定</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无滑动、坍塌等影响尾矿库安全情况</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不存在违章爆破、采石、取水以及外来尾矿、废石、废水和废弃物排入、放牧和开垦和炸鱼等危害尾矿库安全的活动</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尾矿库周边环境、安全状况良好</w:t>
      </w:r>
      <w:r>
        <w:rPr>
          <w:rFonts w:hint="eastAsia" w:ascii="Times New Roman" w:hAnsi="Times New Roman" w:cs="Times New Roman"/>
          <w:color w:val="auto"/>
          <w:lang w:eastAsia="zh-CN"/>
        </w:rPr>
        <w:t>，</w:t>
      </w:r>
      <w:r>
        <w:rPr>
          <w:rFonts w:hint="default" w:ascii="Times New Roman" w:hAnsi="Times New Roman" w:cs="Times New Roman"/>
          <w:color w:val="auto"/>
          <w:lang w:eastAsia="zh-CN"/>
        </w:rPr>
        <w:t>符合规程规范要求。</w:t>
      </w:r>
    </w:p>
    <w:p w14:paraId="4464179E">
      <w:pPr>
        <w:bidi w:val="0"/>
        <w:rPr>
          <w:rFonts w:hint="default" w:ascii="Times New Roman" w:hAnsi="Times New Roman" w:cs="Times New Roman"/>
          <w:b/>
          <w:color w:val="auto"/>
          <w:szCs w:val="28"/>
        </w:rPr>
      </w:pPr>
      <w:r>
        <w:rPr>
          <w:rFonts w:hint="default" w:ascii="Times New Roman" w:hAnsi="Times New Roman" w:cs="Times New Roman"/>
          <w:b/>
          <w:bCs/>
          <w:color w:val="auto"/>
        </w:rPr>
        <w:t>结论：</w:t>
      </w:r>
      <w:r>
        <w:rPr>
          <w:rFonts w:hint="eastAsia"/>
          <w:b/>
          <w:bCs/>
          <w:color w:val="auto"/>
          <w:lang w:val="en-US" w:eastAsia="zh-CN"/>
        </w:rPr>
        <w:t>经判定，</w:t>
      </w:r>
      <w:r>
        <w:rPr>
          <w:rFonts w:hint="default" w:ascii="Times New Roman" w:hAnsi="Times New Roman" w:cs="Times New Roman"/>
          <w:b/>
          <w:color w:val="auto"/>
          <w:szCs w:val="28"/>
        </w:rPr>
        <w:t>江西临川鲁金矿业有限公司茅排金矿庄前尾矿库为正常库，符合国家安全生产法律、法规和行业安全规程，</w:t>
      </w:r>
      <w:r>
        <w:rPr>
          <w:rFonts w:hint="eastAsia" w:ascii="Times New Roman" w:hAnsi="Times New Roman" w:cs="Times New Roman"/>
          <w:b/>
          <w:color w:val="auto"/>
          <w:szCs w:val="28"/>
          <w:lang w:val="en-US" w:eastAsia="zh-CN"/>
        </w:rPr>
        <w:t>按安全设施设计组织生产，</w:t>
      </w:r>
      <w:r>
        <w:rPr>
          <w:rFonts w:hint="default" w:ascii="Times New Roman" w:hAnsi="Times New Roman" w:cs="Times New Roman"/>
          <w:b/>
          <w:color w:val="auto"/>
          <w:szCs w:val="28"/>
        </w:rPr>
        <w:t>符合安全生产条件。</w:t>
      </w:r>
    </w:p>
    <w:p w14:paraId="11B7E3E0">
      <w:pPr>
        <w:bidi w:val="0"/>
        <w:rPr>
          <w:rFonts w:hint="default" w:ascii="Times New Roman" w:hAnsi="Times New Roman" w:cs="Times New Roman"/>
          <w:b/>
          <w:color w:val="auto"/>
          <w:szCs w:val="28"/>
        </w:rPr>
      </w:pPr>
    </w:p>
    <w:p w14:paraId="2DD76244">
      <w:pPr>
        <w:rPr>
          <w:rFonts w:hint="default" w:ascii="Times New Roman" w:hAnsi="Times New Roman" w:cs="Times New Roman"/>
          <w:b/>
          <w:bCs/>
          <w:color w:val="auto"/>
          <w:kern w:val="0"/>
          <w:sz w:val="28"/>
          <w:szCs w:val="28"/>
        </w:rPr>
      </w:pPr>
      <w:r>
        <w:rPr>
          <w:rFonts w:hint="default" w:ascii="Times New Roman" w:hAnsi="Times New Roman" w:cs="Times New Roman"/>
          <w:b/>
          <w:bCs/>
          <w:color w:val="auto"/>
          <w:kern w:val="0"/>
          <w:sz w:val="28"/>
          <w:szCs w:val="28"/>
        </w:rPr>
        <w:br w:type="page"/>
      </w:r>
    </w:p>
    <w:p w14:paraId="73AFE8FF">
      <w:pPr>
        <w:pStyle w:val="3"/>
        <w:bidi w:val="0"/>
        <w:rPr>
          <w:rFonts w:hint="default" w:ascii="Times New Roman" w:hAnsi="Times New Roman" w:cs="Times New Roman"/>
          <w:color w:val="auto"/>
        </w:rPr>
      </w:pPr>
      <w:bookmarkStart w:id="215" w:name="_Toc520296044"/>
      <w:bookmarkStart w:id="216" w:name="_Toc29722"/>
      <w:bookmarkStart w:id="217" w:name="_Toc14260"/>
      <w:r>
        <w:rPr>
          <w:rFonts w:hint="eastAsia" w:cs="Times New Roman"/>
          <w:color w:val="auto"/>
          <w:lang w:val="en-US" w:eastAsia="zh-CN"/>
        </w:rPr>
        <w:t>8</w:t>
      </w:r>
      <w:r>
        <w:rPr>
          <w:rFonts w:hint="default" w:ascii="Times New Roman" w:hAnsi="Times New Roman" w:cs="Times New Roman"/>
          <w:color w:val="auto"/>
        </w:rPr>
        <w:t>附图</w:t>
      </w:r>
      <w:bookmarkEnd w:id="215"/>
      <w:r>
        <w:rPr>
          <w:rFonts w:hint="default" w:ascii="Times New Roman" w:hAnsi="Times New Roman" w:cs="Times New Roman"/>
          <w:color w:val="auto"/>
        </w:rPr>
        <w:t>附件</w:t>
      </w:r>
      <w:bookmarkEnd w:id="216"/>
      <w:bookmarkEnd w:id="217"/>
    </w:p>
    <w:p w14:paraId="398E4E40">
      <w:pPr>
        <w:pStyle w:val="4"/>
        <w:bidi w:val="0"/>
        <w:rPr>
          <w:rFonts w:hint="eastAsia" w:ascii="Times New Roman" w:hAnsi="Times New Roman" w:eastAsia="宋体" w:cs="Times New Roman"/>
          <w:color w:val="auto"/>
          <w:lang w:val="en-US" w:eastAsia="zh-CN"/>
        </w:rPr>
      </w:pPr>
      <w:bookmarkStart w:id="218" w:name="_Toc13720"/>
      <w:bookmarkStart w:id="219" w:name="_Toc3671"/>
      <w:r>
        <w:rPr>
          <w:rFonts w:hint="eastAsia" w:cs="Times New Roman"/>
          <w:color w:val="auto"/>
          <w:lang w:val="en-US" w:eastAsia="zh-CN"/>
        </w:rPr>
        <w:t>8</w:t>
      </w:r>
      <w:r>
        <w:rPr>
          <w:rFonts w:hint="default" w:ascii="Times New Roman" w:hAnsi="Times New Roman" w:cs="Times New Roman"/>
          <w:color w:val="auto"/>
        </w:rPr>
        <w:t>.1</w:t>
      </w:r>
      <w:bookmarkEnd w:id="218"/>
      <w:r>
        <w:rPr>
          <w:rFonts w:hint="eastAsia" w:cs="Times New Roman"/>
          <w:color w:val="auto"/>
          <w:lang w:val="en-US" w:eastAsia="zh-CN"/>
        </w:rPr>
        <w:t>附图</w:t>
      </w:r>
      <w:bookmarkEnd w:id="219"/>
    </w:p>
    <w:p w14:paraId="14F7BEC8">
      <w:pPr>
        <w:numPr>
          <w:ilvl w:val="0"/>
          <w:numId w:val="5"/>
        </w:numPr>
        <w:spacing w:line="600" w:lineRule="exact"/>
        <w:ind w:firstLine="560" w:firstLineChars="200"/>
        <w:rPr>
          <w:rFonts w:hint="default" w:ascii="Times New Roman" w:hAnsi="Times New Roman" w:cs="Times New Roman"/>
          <w:bCs/>
          <w:color w:val="auto"/>
          <w:sz w:val="28"/>
          <w:szCs w:val="28"/>
        </w:rPr>
      </w:pPr>
      <w:bookmarkStart w:id="220" w:name="_Toc3571"/>
      <w:r>
        <w:rPr>
          <w:rFonts w:hint="eastAsia" w:ascii="Times New Roman" w:hAnsi="Times New Roman" w:cs="Times New Roman"/>
          <w:bCs/>
          <w:color w:val="auto"/>
          <w:sz w:val="28"/>
          <w:szCs w:val="28"/>
          <w:lang w:val="en-US" w:eastAsia="zh-CN"/>
        </w:rPr>
        <w:t>茅排金矿庄前尾矿库</w:t>
      </w:r>
      <w:r>
        <w:rPr>
          <w:rFonts w:hint="default" w:ascii="Times New Roman" w:hAnsi="Times New Roman" w:cs="Times New Roman"/>
          <w:bCs/>
          <w:color w:val="auto"/>
          <w:sz w:val="28"/>
          <w:szCs w:val="28"/>
          <w:lang w:val="en-US" w:eastAsia="zh-CN"/>
        </w:rPr>
        <w:t>现状</w:t>
      </w:r>
      <w:r>
        <w:rPr>
          <w:rFonts w:hint="eastAsia" w:ascii="Times New Roman" w:hAnsi="Times New Roman" w:cs="Times New Roman"/>
          <w:bCs/>
          <w:color w:val="auto"/>
          <w:sz w:val="28"/>
          <w:szCs w:val="28"/>
          <w:lang w:val="en-US" w:eastAsia="zh-CN"/>
        </w:rPr>
        <w:t>平面</w:t>
      </w:r>
      <w:r>
        <w:rPr>
          <w:rFonts w:hint="default" w:ascii="Times New Roman" w:hAnsi="Times New Roman" w:cs="Times New Roman"/>
          <w:bCs/>
          <w:color w:val="auto"/>
          <w:sz w:val="28"/>
          <w:szCs w:val="28"/>
        </w:rPr>
        <w:t>图</w:t>
      </w:r>
    </w:p>
    <w:p w14:paraId="1C8C2072">
      <w:pPr>
        <w:pStyle w:val="2"/>
        <w:numPr>
          <w:ilvl w:val="0"/>
          <w:numId w:val="5"/>
        </w:numPr>
        <w:ind w:left="0" w:leftChars="0" w:firstLine="560" w:firstLineChars="200"/>
        <w:rPr>
          <w:rFonts w:hint="eastAsia" w:ascii="Times New Roman" w:hAnsi="Times New Roman" w:cs="Times New Roman"/>
          <w:bCs/>
          <w:color w:val="auto"/>
          <w:sz w:val="28"/>
          <w:szCs w:val="28"/>
          <w:lang w:val="en-US" w:eastAsia="zh-CN"/>
        </w:rPr>
      </w:pPr>
      <w:r>
        <w:rPr>
          <w:rFonts w:hint="eastAsia" w:ascii="Times New Roman" w:hAnsi="Times New Roman" w:cs="Times New Roman"/>
          <w:bCs/>
          <w:color w:val="auto"/>
          <w:sz w:val="28"/>
          <w:szCs w:val="28"/>
          <w:lang w:val="en-US" w:eastAsia="zh-CN"/>
        </w:rPr>
        <w:t>茅排金矿庄前尾矿库尾矿坝横纵剖面图</w:t>
      </w:r>
    </w:p>
    <w:p w14:paraId="4552FB76">
      <w:pPr>
        <w:pStyle w:val="2"/>
        <w:numPr>
          <w:ilvl w:val="0"/>
          <w:numId w:val="5"/>
        </w:numPr>
        <w:ind w:left="0" w:leftChars="0" w:firstLine="560" w:firstLineChars="200"/>
        <w:rPr>
          <w:rFonts w:hint="default" w:ascii="Times New Roman" w:hAnsi="Times New Roman" w:cs="Times New Roman"/>
          <w:bCs/>
          <w:color w:val="auto"/>
          <w:sz w:val="28"/>
          <w:szCs w:val="28"/>
          <w:lang w:val="en-US" w:eastAsia="zh-CN"/>
        </w:rPr>
      </w:pPr>
      <w:r>
        <w:rPr>
          <w:rFonts w:hint="eastAsia" w:ascii="Times New Roman" w:hAnsi="Times New Roman" w:cs="Times New Roman"/>
          <w:bCs/>
          <w:color w:val="auto"/>
          <w:sz w:val="28"/>
          <w:szCs w:val="28"/>
          <w:lang w:val="en-US" w:eastAsia="zh-CN"/>
        </w:rPr>
        <w:t>茅排金矿庄前尾矿库库容曲线图</w:t>
      </w:r>
    </w:p>
    <w:p w14:paraId="003BA611">
      <w:pPr>
        <w:pStyle w:val="2"/>
        <w:numPr>
          <w:ilvl w:val="0"/>
          <w:numId w:val="5"/>
        </w:numPr>
        <w:ind w:left="0" w:leftChars="0" w:firstLine="560" w:firstLineChars="200"/>
        <w:rPr>
          <w:rFonts w:hint="default" w:ascii="Times New Roman" w:hAnsi="Times New Roman" w:cs="Times New Roman"/>
          <w:bCs/>
          <w:color w:val="auto"/>
          <w:sz w:val="28"/>
          <w:szCs w:val="28"/>
          <w:lang w:val="en-US" w:eastAsia="zh-CN"/>
        </w:rPr>
      </w:pPr>
      <w:r>
        <w:rPr>
          <w:rFonts w:hint="eastAsia" w:ascii="Times New Roman" w:hAnsi="Times New Roman" w:cs="Times New Roman"/>
          <w:bCs/>
          <w:color w:val="auto"/>
          <w:sz w:val="28"/>
          <w:szCs w:val="28"/>
          <w:lang w:val="en-US" w:eastAsia="zh-CN"/>
        </w:rPr>
        <w:t>茅排金矿庄前尾矿库排洪系统剖面图</w:t>
      </w:r>
    </w:p>
    <w:p w14:paraId="39768AC0">
      <w:pPr>
        <w:pStyle w:val="2"/>
        <w:numPr>
          <w:ilvl w:val="0"/>
          <w:numId w:val="5"/>
        </w:numPr>
        <w:ind w:left="0" w:leftChars="0" w:firstLine="560" w:firstLineChars="200"/>
        <w:rPr>
          <w:rFonts w:hint="default" w:ascii="Times New Roman" w:hAnsi="Times New Roman" w:cs="Times New Roman"/>
          <w:bCs/>
          <w:color w:val="auto"/>
          <w:sz w:val="28"/>
          <w:szCs w:val="28"/>
          <w:lang w:val="en-US" w:eastAsia="zh-CN"/>
        </w:rPr>
      </w:pPr>
      <w:r>
        <w:rPr>
          <w:rFonts w:hint="eastAsia" w:ascii="Times New Roman" w:hAnsi="Times New Roman" w:cs="Times New Roman"/>
          <w:bCs/>
          <w:color w:val="auto"/>
          <w:sz w:val="28"/>
          <w:szCs w:val="28"/>
          <w:lang w:val="en-US" w:eastAsia="zh-CN"/>
        </w:rPr>
        <w:t>茅排金矿庄前尾矿库溢洪道剖面图1</w:t>
      </w:r>
    </w:p>
    <w:p w14:paraId="46309D18">
      <w:pPr>
        <w:pStyle w:val="2"/>
        <w:numPr>
          <w:ilvl w:val="0"/>
          <w:numId w:val="5"/>
        </w:numPr>
        <w:ind w:left="0" w:leftChars="0" w:firstLine="560" w:firstLineChars="200"/>
        <w:rPr>
          <w:rFonts w:hint="default" w:ascii="Times New Roman" w:hAnsi="Times New Roman" w:cs="Times New Roman"/>
          <w:bCs/>
          <w:color w:val="auto"/>
          <w:sz w:val="28"/>
          <w:szCs w:val="28"/>
          <w:lang w:val="en-US" w:eastAsia="zh-CN"/>
        </w:rPr>
      </w:pPr>
      <w:r>
        <w:rPr>
          <w:rFonts w:hint="eastAsia" w:ascii="Times New Roman" w:hAnsi="Times New Roman" w:cs="Times New Roman"/>
          <w:bCs/>
          <w:color w:val="auto"/>
          <w:sz w:val="28"/>
          <w:szCs w:val="28"/>
          <w:lang w:val="en-US" w:eastAsia="zh-CN"/>
        </w:rPr>
        <w:t>茅排金矿庄前尾矿库溢洪道剖面图2</w:t>
      </w:r>
    </w:p>
    <w:p w14:paraId="48896010">
      <w:pPr>
        <w:pStyle w:val="4"/>
        <w:bidi w:val="0"/>
        <w:rPr>
          <w:rFonts w:hint="default" w:ascii="Times New Roman" w:hAnsi="Times New Roman" w:cs="Times New Roman"/>
          <w:color w:val="auto"/>
        </w:rPr>
      </w:pPr>
      <w:bookmarkStart w:id="221" w:name="_Toc3958"/>
      <w:r>
        <w:rPr>
          <w:rFonts w:hint="eastAsia" w:cs="Times New Roman"/>
          <w:color w:val="auto"/>
          <w:lang w:val="en-US" w:eastAsia="zh-CN"/>
        </w:rPr>
        <w:t>8</w:t>
      </w:r>
      <w:r>
        <w:rPr>
          <w:rFonts w:hint="default" w:ascii="Times New Roman" w:hAnsi="Times New Roman" w:cs="Times New Roman"/>
          <w:color w:val="auto"/>
        </w:rPr>
        <w:t>.2附件</w:t>
      </w:r>
      <w:bookmarkEnd w:id="220"/>
      <w:bookmarkEnd w:id="221"/>
    </w:p>
    <w:p w14:paraId="0B11007B">
      <w:pPr>
        <w:bidi w:val="0"/>
        <w:rPr>
          <w:rFonts w:hint="default"/>
        </w:rPr>
      </w:pPr>
      <w:r>
        <w:rPr>
          <w:rFonts w:hint="eastAsia"/>
          <w:lang w:val="en-US" w:eastAsia="zh-CN"/>
        </w:rPr>
        <w:t>1.</w:t>
      </w:r>
      <w:r>
        <w:rPr>
          <w:rFonts w:hint="default"/>
        </w:rPr>
        <w:t>尾矿库现场整改意见；</w:t>
      </w:r>
    </w:p>
    <w:p w14:paraId="58A8E258">
      <w:pPr>
        <w:bidi w:val="0"/>
        <w:rPr>
          <w:rFonts w:hint="default"/>
        </w:rPr>
      </w:pPr>
      <w:r>
        <w:rPr>
          <w:rFonts w:hint="eastAsia"/>
          <w:lang w:val="en-US" w:eastAsia="zh-CN"/>
        </w:rPr>
        <w:t>2.</w:t>
      </w:r>
      <w:r>
        <w:rPr>
          <w:rFonts w:hint="default"/>
        </w:rPr>
        <w:t>尾矿库现场整改意见回复；</w:t>
      </w:r>
    </w:p>
    <w:p w14:paraId="45EBE6FF">
      <w:pPr>
        <w:bidi w:val="0"/>
        <w:rPr>
          <w:rFonts w:hint="default"/>
        </w:rPr>
      </w:pPr>
      <w:r>
        <w:rPr>
          <w:rFonts w:hint="eastAsia"/>
          <w:lang w:val="en-US" w:eastAsia="zh-CN"/>
        </w:rPr>
        <w:t>3</w:t>
      </w:r>
      <w:r>
        <w:rPr>
          <w:rFonts w:hint="default"/>
          <w:lang w:val="en-US" w:eastAsia="zh-CN"/>
        </w:rPr>
        <w:t>.</w:t>
      </w:r>
      <w:r>
        <w:rPr>
          <w:rFonts w:hint="default"/>
        </w:rPr>
        <w:t>尾矿库相关</w:t>
      </w:r>
      <w:r>
        <w:rPr>
          <w:rFonts w:hint="eastAsia"/>
          <w:lang w:val="en-US" w:eastAsia="zh-CN"/>
        </w:rPr>
        <w:t>材料</w:t>
      </w:r>
      <w:r>
        <w:rPr>
          <w:rFonts w:hint="default"/>
        </w:rPr>
        <w:t>及有效证件；</w:t>
      </w:r>
    </w:p>
    <w:p w14:paraId="3E7F24DD">
      <w:pPr>
        <w:bidi w:val="0"/>
        <w:rPr>
          <w:rFonts w:hint="default"/>
        </w:rPr>
      </w:pPr>
      <w:r>
        <w:rPr>
          <w:rFonts w:hint="eastAsia"/>
          <w:lang w:val="en-US" w:eastAsia="zh-CN"/>
        </w:rPr>
        <w:t>4</w:t>
      </w:r>
      <w:r>
        <w:rPr>
          <w:rFonts w:hint="default"/>
          <w:lang w:val="en-US" w:eastAsia="zh-CN"/>
        </w:rPr>
        <w:t>.</w:t>
      </w:r>
      <w:r>
        <w:rPr>
          <w:rFonts w:hint="eastAsia"/>
          <w:lang w:val="en-US" w:eastAsia="zh-CN"/>
        </w:rPr>
        <w:t>2024年</w:t>
      </w:r>
      <w:r>
        <w:rPr>
          <w:rFonts w:hint="default"/>
        </w:rPr>
        <w:t>安全</w:t>
      </w:r>
      <w:r>
        <w:rPr>
          <w:rFonts w:hint="eastAsia"/>
          <w:lang w:val="en-US" w:eastAsia="zh-CN"/>
        </w:rPr>
        <w:t>生产</w:t>
      </w:r>
      <w:r>
        <w:rPr>
          <w:rFonts w:hint="default"/>
        </w:rPr>
        <w:t>费用提取</w:t>
      </w:r>
      <w:r>
        <w:rPr>
          <w:rFonts w:hint="eastAsia"/>
          <w:lang w:val="en-US" w:eastAsia="zh-CN"/>
        </w:rPr>
        <w:t>清单</w:t>
      </w:r>
      <w:r>
        <w:rPr>
          <w:rFonts w:hint="default"/>
        </w:rPr>
        <w:t>；</w:t>
      </w:r>
    </w:p>
    <w:p w14:paraId="3806E5A9">
      <w:pPr>
        <w:bidi w:val="0"/>
        <w:rPr>
          <w:rFonts w:hint="eastAsia"/>
          <w:lang w:val="en-US" w:eastAsia="zh-CN"/>
        </w:rPr>
      </w:pPr>
      <w:r>
        <w:rPr>
          <w:rFonts w:hint="eastAsia"/>
          <w:lang w:val="en-US" w:eastAsia="zh-CN"/>
        </w:rPr>
        <w:t>6.</w:t>
      </w:r>
      <w:r>
        <w:rPr>
          <w:rFonts w:hint="default"/>
        </w:rPr>
        <w:t>调洪演算报告</w:t>
      </w:r>
      <w:r>
        <w:rPr>
          <w:rFonts w:hint="eastAsia"/>
          <w:lang w:val="en-US" w:eastAsia="zh-CN"/>
        </w:rPr>
        <w:t>；</w:t>
      </w:r>
    </w:p>
    <w:p w14:paraId="7263EBC5">
      <w:pPr>
        <w:bidi w:val="0"/>
        <w:rPr>
          <w:rFonts w:hint="eastAsia"/>
          <w:lang w:val="en-US" w:eastAsia="zh-CN"/>
        </w:rPr>
      </w:pPr>
      <w:r>
        <w:rPr>
          <w:rFonts w:hint="eastAsia"/>
          <w:lang w:val="en-US" w:eastAsia="zh-CN"/>
        </w:rPr>
        <w:t>7.排洪构筑物质量检测报告；</w:t>
      </w:r>
    </w:p>
    <w:p w14:paraId="0572E8D5">
      <w:pPr>
        <w:bidi w:val="0"/>
        <w:rPr>
          <w:rFonts w:hint="eastAsia"/>
          <w:lang w:val="en-US" w:eastAsia="zh-CN"/>
        </w:rPr>
      </w:pPr>
      <w:r>
        <w:rPr>
          <w:rFonts w:hint="eastAsia"/>
          <w:lang w:val="en-US" w:eastAsia="zh-CN"/>
        </w:rPr>
        <w:t>8.工伤保险；</w:t>
      </w:r>
    </w:p>
    <w:p w14:paraId="1E114A5B">
      <w:pPr>
        <w:bidi w:val="0"/>
        <w:rPr>
          <w:rFonts w:hint="default"/>
          <w:lang w:val="en-US" w:eastAsia="zh-CN"/>
        </w:rPr>
      </w:pPr>
      <w:r>
        <w:rPr>
          <w:rFonts w:hint="eastAsia"/>
          <w:lang w:val="en-US" w:eastAsia="zh-CN"/>
        </w:rPr>
        <w:t>9.安全生产责任险；</w:t>
      </w:r>
    </w:p>
    <w:p w14:paraId="2756B99F">
      <w:pPr>
        <w:bidi w:val="0"/>
        <w:rPr>
          <w:rFonts w:hint="eastAsia" w:eastAsia="宋体"/>
          <w:lang w:val="en-US" w:eastAsia="zh-CN"/>
        </w:rPr>
      </w:pPr>
      <w:r>
        <w:rPr>
          <w:rFonts w:hint="eastAsia"/>
          <w:lang w:val="en-US" w:eastAsia="zh-CN"/>
        </w:rPr>
        <w:t>10</w:t>
      </w:r>
      <w:r>
        <w:rPr>
          <w:rFonts w:hint="default"/>
          <w:lang w:val="en-US" w:eastAsia="zh-CN"/>
        </w:rPr>
        <w:t>.</w:t>
      </w:r>
      <w:r>
        <w:rPr>
          <w:rFonts w:hint="default"/>
        </w:rPr>
        <w:t>应急救援协议；</w:t>
      </w:r>
      <w:r>
        <w:rPr>
          <w:rFonts w:hint="eastAsia"/>
          <w:lang w:val="en-US" w:eastAsia="zh-CN"/>
        </w:rPr>
        <w:t xml:space="preserve"> </w:t>
      </w:r>
    </w:p>
    <w:p w14:paraId="49CB4767">
      <w:pPr>
        <w:bidi w:val="0"/>
        <w:rPr>
          <w:rFonts w:hint="default" w:eastAsia="宋体"/>
          <w:lang w:val="en-US" w:eastAsia="zh-CN"/>
        </w:rPr>
      </w:pPr>
      <w:r>
        <w:rPr>
          <w:rFonts w:hint="eastAsia"/>
          <w:lang w:val="en-US" w:eastAsia="zh-CN"/>
        </w:rPr>
        <w:t>11.其他材料。</w:t>
      </w:r>
    </w:p>
    <w:p w14:paraId="75928B45">
      <w:pPr>
        <w:rPr>
          <w:rFonts w:hint="default" w:ascii="Times New Roman" w:hAnsi="Times New Roman" w:cs="Times New Roman"/>
        </w:rPr>
      </w:pPr>
    </w:p>
    <w:p w14:paraId="6DCA9BE6">
      <w:pPr>
        <w:rPr>
          <w:rFonts w:hint="default" w:ascii="Times New Roman" w:hAnsi="Times New Roman" w:cs="Times New Roman"/>
        </w:rPr>
      </w:pPr>
      <w:r>
        <w:rPr>
          <w:rFonts w:hint="default" w:ascii="Times New Roman" w:hAnsi="Times New Roman" w:cs="Times New Roman"/>
        </w:rPr>
        <w:br w:type="page"/>
      </w:r>
    </w:p>
    <w:p w14:paraId="155662E6">
      <w:pPr>
        <w:rPr>
          <w:rFonts w:hint="default" w:ascii="Times New Roman" w:hAnsi="Times New Roman" w:cs="Times New Roman"/>
        </w:rPr>
      </w:pPr>
      <w:r>
        <w:rPr>
          <w:rFonts w:hint="default" w:ascii="Times New Roman" w:hAnsi="Times New Roman" w:cs="Times New Roman"/>
        </w:rPr>
        <w:t>评价人员现场检查与企业陪同人员影像</w:t>
      </w:r>
    </w:p>
    <w:p w14:paraId="256CE815">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color w:val="auto"/>
          <w:lang w:val="en-US" w:eastAsia="zh-CN"/>
        </w:rPr>
      </w:pPr>
      <w:bookmarkStart w:id="222" w:name="_GoBack"/>
      <w:r>
        <w:rPr>
          <w:rFonts w:hint="default" w:ascii="Times New Roman" w:hAnsi="Times New Roman" w:cs="Times New Roman"/>
        </w:rPr>
        <w:drawing>
          <wp:inline distT="0" distB="0" distL="114300" distR="114300">
            <wp:extent cx="5746115" cy="4307840"/>
            <wp:effectExtent l="0" t="0" r="14605" b="5080"/>
            <wp:docPr id="121" name="图片 121" descr="03f57225cfb4d670568fd3435daf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03f57225cfb4d670568fd3435daf492"/>
                    <pic:cNvPicPr>
                      <a:picLocks noChangeAspect="1"/>
                    </pic:cNvPicPr>
                  </pic:nvPicPr>
                  <pic:blipFill>
                    <a:blip r:embed="rId31"/>
                    <a:stretch>
                      <a:fillRect/>
                    </a:stretch>
                  </pic:blipFill>
                  <pic:spPr>
                    <a:xfrm>
                      <a:off x="0" y="0"/>
                      <a:ext cx="5746115" cy="4307840"/>
                    </a:xfrm>
                    <a:prstGeom prst="rect">
                      <a:avLst/>
                    </a:prstGeom>
                  </pic:spPr>
                </pic:pic>
              </a:graphicData>
            </a:graphic>
          </wp:inline>
        </w:drawing>
      </w:r>
      <w:bookmarkEnd w:id="222"/>
    </w:p>
    <w:sectPr>
      <w:footerReference r:id="rId9" w:type="default"/>
      <w:pgSz w:w="11906" w:h="16838"/>
      <w:pgMar w:top="1417" w:right="1429"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ambria Math">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A4747">
    <w:pPr>
      <w:pStyle w:val="11"/>
      <w:pBdr>
        <w:top w:val="single" w:color="auto" w:sz="4" w:space="0"/>
      </w:pBdr>
      <w:ind w:left="0" w:leftChars="0" w:firstLine="0" w:firstLineChars="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0C6F02">
                          <w:pPr>
                            <w:pStyle w:val="11"/>
                            <w:bidi w:val="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I</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30C6F02">
                    <w:pPr>
                      <w:pStyle w:val="11"/>
                      <w:bidi w:val="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I</w:t>
                    </w:r>
                    <w:r>
                      <w:rPr>
                        <w:rFonts w:hint="default" w:ascii="Times New Roman" w:hAnsi="Times New Roman" w:cs="Times New Roman"/>
                      </w:rPr>
                      <w:fldChar w:fldCharType="end"/>
                    </w:r>
                  </w:p>
                </w:txbxContent>
              </v:textbox>
            </v:shape>
          </w:pict>
        </mc:Fallback>
      </mc:AlternateContent>
    </w:r>
    <w:r>
      <w:rPr>
        <w:rFonts w:hint="eastAsia"/>
      </w:rPr>
      <w:t>江西赣安安全生产科学技术咨询服务中心                                                   APJ-（赣）-002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E4E94">
    <w:pPr>
      <w:pBdr>
        <w:top w:val="single" w:color="auto" w:sz="6" w:space="1"/>
      </w:pBdr>
      <w:tabs>
        <w:tab w:val="center" w:pos="4153"/>
        <w:tab w:val="right" w:pos="8306"/>
      </w:tabs>
      <w:kinsoku w:val="0"/>
      <w:autoSpaceDE w:val="0"/>
      <w:autoSpaceDN w:val="0"/>
      <w:adjustRightInd w:val="0"/>
      <w:snapToGrid w:val="0"/>
      <w:spacing w:line="240" w:lineRule="auto"/>
      <w:ind w:left="0" w:leftChars="0" w:firstLine="0" w:firstLineChars="0"/>
      <w:jc w:val="left"/>
      <w:textAlignment w:val="baseline"/>
      <w:rPr>
        <w:rFonts w:hint="eastAsia" w:ascii="Arial" w:hAnsi="Arial" w:eastAsia="Arial" w:cs="Arial"/>
        <w:snapToGrid w:val="0"/>
        <w:color w:val="000000"/>
        <w:kern w:val="0"/>
        <w:sz w:val="18"/>
        <w:szCs w:val="21"/>
      </w:rPr>
    </w:pPr>
    <w:r>
      <w:rPr>
        <w:rFonts w:ascii="Arial" w:hAnsi="Arial" w:eastAsia="Arial" w:cs="Arial"/>
        <w:snapToGrid w:val="0"/>
        <w:color w:val="000000"/>
        <w:kern w:val="0"/>
        <w:sz w:val="18"/>
        <w:szCs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106FD4">
                          <w:pPr>
                            <w:tabs>
                              <w:tab w:val="center" w:pos="4153"/>
                              <w:tab w:val="right" w:pos="8306"/>
                            </w:tabs>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18"/>
                              <w:szCs w:val="21"/>
                            </w:rPr>
                          </w:pPr>
                          <w:r>
                            <w:rPr>
                              <w:rFonts w:ascii="Arial" w:hAnsi="Arial" w:eastAsia="Arial" w:cs="Arial"/>
                              <w:snapToGrid w:val="0"/>
                              <w:color w:val="000000"/>
                              <w:kern w:val="0"/>
                              <w:sz w:val="18"/>
                              <w:szCs w:val="21"/>
                            </w:rPr>
                            <w:fldChar w:fldCharType="begin"/>
                          </w:r>
                          <w:r>
                            <w:rPr>
                              <w:rFonts w:ascii="Arial" w:hAnsi="Arial" w:eastAsia="Arial" w:cs="Arial"/>
                              <w:snapToGrid w:val="0"/>
                              <w:color w:val="000000"/>
                              <w:kern w:val="0"/>
                              <w:sz w:val="18"/>
                              <w:szCs w:val="21"/>
                            </w:rPr>
                            <w:instrText xml:space="preserve"> PAGE  \* MERGEFORMAT </w:instrText>
                          </w:r>
                          <w:r>
                            <w:rPr>
                              <w:rFonts w:ascii="Arial" w:hAnsi="Arial" w:eastAsia="Arial" w:cs="Arial"/>
                              <w:snapToGrid w:val="0"/>
                              <w:color w:val="000000"/>
                              <w:kern w:val="0"/>
                              <w:sz w:val="18"/>
                              <w:szCs w:val="21"/>
                            </w:rPr>
                            <w:fldChar w:fldCharType="separate"/>
                          </w:r>
                          <w:r>
                            <w:rPr>
                              <w:rFonts w:ascii="Arial" w:hAnsi="Arial" w:eastAsia="Arial" w:cs="Arial"/>
                              <w:snapToGrid w:val="0"/>
                              <w:color w:val="000000"/>
                              <w:kern w:val="0"/>
                              <w:sz w:val="18"/>
                              <w:szCs w:val="21"/>
                            </w:rPr>
                            <w:t>39</w:t>
                          </w:r>
                          <w:r>
                            <w:rPr>
                              <w:rFonts w:ascii="Arial" w:hAnsi="Arial" w:eastAsia="Arial" w:cs="Arial"/>
                              <w:snapToGrid w:val="0"/>
                              <w:color w:val="000000"/>
                              <w:kern w:val="0"/>
                              <w:sz w:val="18"/>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14:paraId="6D106FD4">
                    <w:pPr>
                      <w:tabs>
                        <w:tab w:val="center" w:pos="4153"/>
                        <w:tab w:val="right" w:pos="8306"/>
                      </w:tabs>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18"/>
                        <w:szCs w:val="21"/>
                      </w:rPr>
                    </w:pPr>
                    <w:r>
                      <w:rPr>
                        <w:rFonts w:ascii="Arial" w:hAnsi="Arial" w:eastAsia="Arial" w:cs="Arial"/>
                        <w:snapToGrid w:val="0"/>
                        <w:color w:val="000000"/>
                        <w:kern w:val="0"/>
                        <w:sz w:val="18"/>
                        <w:szCs w:val="21"/>
                      </w:rPr>
                      <w:fldChar w:fldCharType="begin"/>
                    </w:r>
                    <w:r>
                      <w:rPr>
                        <w:rFonts w:ascii="Arial" w:hAnsi="Arial" w:eastAsia="Arial" w:cs="Arial"/>
                        <w:snapToGrid w:val="0"/>
                        <w:color w:val="000000"/>
                        <w:kern w:val="0"/>
                        <w:sz w:val="18"/>
                        <w:szCs w:val="21"/>
                      </w:rPr>
                      <w:instrText xml:space="preserve"> PAGE  \* MERGEFORMAT </w:instrText>
                    </w:r>
                    <w:r>
                      <w:rPr>
                        <w:rFonts w:ascii="Arial" w:hAnsi="Arial" w:eastAsia="Arial" w:cs="Arial"/>
                        <w:snapToGrid w:val="0"/>
                        <w:color w:val="000000"/>
                        <w:kern w:val="0"/>
                        <w:sz w:val="18"/>
                        <w:szCs w:val="21"/>
                      </w:rPr>
                      <w:fldChar w:fldCharType="separate"/>
                    </w:r>
                    <w:r>
                      <w:rPr>
                        <w:rFonts w:ascii="Arial" w:hAnsi="Arial" w:eastAsia="Arial" w:cs="Arial"/>
                        <w:snapToGrid w:val="0"/>
                        <w:color w:val="000000"/>
                        <w:kern w:val="0"/>
                        <w:sz w:val="18"/>
                        <w:szCs w:val="21"/>
                      </w:rPr>
                      <w:t>39</w:t>
                    </w:r>
                    <w:r>
                      <w:rPr>
                        <w:rFonts w:ascii="Arial" w:hAnsi="Arial" w:eastAsia="Arial" w:cs="Arial"/>
                        <w:snapToGrid w:val="0"/>
                        <w:color w:val="000000"/>
                        <w:kern w:val="0"/>
                        <w:sz w:val="18"/>
                        <w:szCs w:val="21"/>
                      </w:rPr>
                      <w:fldChar w:fldCharType="end"/>
                    </w:r>
                  </w:p>
                </w:txbxContent>
              </v:textbox>
            </v:shape>
          </w:pict>
        </mc:Fallback>
      </mc:AlternateContent>
    </w:r>
    <w:r>
      <w:rPr>
        <w:rFonts w:hint="eastAsia" w:ascii="Arial" w:hAnsi="Arial" w:eastAsia="Arial" w:cs="Arial"/>
        <w:snapToGrid w:val="0"/>
        <w:color w:val="000000"/>
        <w:kern w:val="0"/>
        <w:sz w:val="18"/>
        <w:szCs w:val="21"/>
      </w:rPr>
      <w:t xml:space="preserve">江西赣安安全生产科学技术咨询服务中心                        </w:t>
    </w:r>
    <w:r>
      <w:rPr>
        <w:rFonts w:hint="eastAsia" w:ascii="Arial" w:hAnsi="Arial" w:eastAsia="宋体" w:cs="Arial"/>
        <w:snapToGrid w:val="0"/>
        <w:color w:val="000000"/>
        <w:kern w:val="0"/>
        <w:sz w:val="18"/>
        <w:szCs w:val="21"/>
        <w:lang w:val="en-US" w:eastAsia="zh-CN"/>
      </w:rPr>
      <w:t xml:space="preserve">   </w:t>
    </w:r>
    <w:r>
      <w:rPr>
        <w:rFonts w:hint="eastAsia" w:ascii="Arial" w:hAnsi="Arial" w:cs="Arial"/>
        <w:snapToGrid w:val="0"/>
        <w:color w:val="000000"/>
        <w:kern w:val="0"/>
        <w:sz w:val="18"/>
        <w:szCs w:val="21"/>
        <w:lang w:val="en-US" w:eastAsia="zh-CN"/>
      </w:rPr>
      <w:t xml:space="preserve">  </w:t>
    </w:r>
    <w:r>
      <w:rPr>
        <w:rFonts w:hint="eastAsia" w:ascii="Arial" w:hAnsi="Arial" w:eastAsia="宋体" w:cs="Arial"/>
        <w:snapToGrid w:val="0"/>
        <w:color w:val="000000"/>
        <w:kern w:val="0"/>
        <w:sz w:val="18"/>
        <w:szCs w:val="21"/>
        <w:lang w:val="en-US" w:eastAsia="zh-CN"/>
      </w:rPr>
      <w:t xml:space="preserve"> </w:t>
    </w:r>
    <w:r>
      <w:rPr>
        <w:rFonts w:hint="eastAsia" w:ascii="宋体" w:hAnsi="宋体" w:eastAsia="宋体" w:cs="宋体"/>
        <w:snapToGrid w:val="0"/>
        <w:color w:val="000000"/>
        <w:kern w:val="0"/>
        <w:sz w:val="18"/>
        <w:szCs w:val="21"/>
        <w:lang w:val="en-US" w:eastAsia="zh-CN"/>
      </w:rPr>
      <w:t xml:space="preserve">  </w:t>
    </w:r>
    <w:r>
      <w:rPr>
        <w:rFonts w:hint="eastAsia" w:ascii="宋体" w:hAnsi="宋体" w:eastAsia="宋体" w:cs="宋体"/>
        <w:snapToGrid w:val="0"/>
        <w:color w:val="000000"/>
        <w:kern w:val="0"/>
        <w:sz w:val="18"/>
        <w:szCs w:val="21"/>
      </w:rPr>
      <w:t xml:space="preserve"> </w:t>
    </w:r>
    <w:r>
      <w:rPr>
        <w:rFonts w:hint="eastAsia" w:ascii="Arial" w:hAnsi="Arial" w:eastAsia="宋体" w:cs="Arial"/>
        <w:snapToGrid w:val="0"/>
        <w:color w:val="000000"/>
        <w:kern w:val="0"/>
        <w:sz w:val="18"/>
        <w:szCs w:val="21"/>
        <w:lang w:val="en-US" w:eastAsia="zh-CN"/>
      </w:rPr>
      <w:t xml:space="preserve">                 </w:t>
    </w:r>
    <w:r>
      <w:rPr>
        <w:rFonts w:hint="eastAsia" w:ascii="Arial" w:hAnsi="Arial" w:eastAsia="Arial" w:cs="Arial"/>
        <w:snapToGrid w:val="0"/>
        <w:color w:val="000000"/>
        <w:kern w:val="0"/>
        <w:sz w:val="18"/>
        <w:szCs w:val="21"/>
      </w:rPr>
      <w:t>APJ-（赣）-002</w:t>
    </w:r>
  </w:p>
  <w:p w14:paraId="45899669">
    <w:pPr>
      <w:tabs>
        <w:tab w:val="center" w:pos="4153"/>
        <w:tab w:val="right" w:pos="8306"/>
      </w:tabs>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18"/>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CD4DF">
    <w:pPr>
      <w:pBdr>
        <w:top w:val="single" w:color="auto" w:sz="6" w:space="1"/>
      </w:pBdr>
      <w:tabs>
        <w:tab w:val="center" w:pos="4153"/>
        <w:tab w:val="right" w:pos="8306"/>
      </w:tabs>
      <w:kinsoku w:val="0"/>
      <w:autoSpaceDE w:val="0"/>
      <w:autoSpaceDN w:val="0"/>
      <w:adjustRightInd w:val="0"/>
      <w:snapToGrid w:val="0"/>
      <w:spacing w:line="240" w:lineRule="auto"/>
      <w:jc w:val="left"/>
      <w:textAlignment w:val="baseline"/>
      <w:rPr>
        <w:rFonts w:hint="eastAsia" w:ascii="Arial" w:hAnsi="Arial" w:eastAsia="Arial" w:cs="Arial"/>
        <w:snapToGrid w:val="0"/>
        <w:color w:val="000000"/>
        <w:kern w:val="0"/>
        <w:sz w:val="18"/>
        <w:szCs w:val="21"/>
      </w:rPr>
    </w:pPr>
    <w:r>
      <w:rPr>
        <w:rFonts w:ascii="Arial" w:hAnsi="Arial" w:eastAsia="Arial" w:cs="Arial"/>
        <w:snapToGrid w:val="0"/>
        <w:color w:val="000000"/>
        <w:kern w:val="0"/>
        <w:sz w:val="18"/>
        <w:szCs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FE56BE">
                          <w:pPr>
                            <w:tabs>
                              <w:tab w:val="center" w:pos="4153"/>
                              <w:tab w:val="right" w:pos="8306"/>
                            </w:tabs>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18"/>
                              <w:szCs w:val="21"/>
                            </w:rPr>
                          </w:pPr>
                          <w:r>
                            <w:rPr>
                              <w:rFonts w:ascii="Arial" w:hAnsi="Arial" w:eastAsia="Arial" w:cs="Arial"/>
                              <w:snapToGrid w:val="0"/>
                              <w:color w:val="000000"/>
                              <w:kern w:val="0"/>
                              <w:sz w:val="18"/>
                              <w:szCs w:val="21"/>
                            </w:rPr>
                            <w:fldChar w:fldCharType="begin"/>
                          </w:r>
                          <w:r>
                            <w:rPr>
                              <w:rFonts w:ascii="Arial" w:hAnsi="Arial" w:eastAsia="Arial" w:cs="Arial"/>
                              <w:snapToGrid w:val="0"/>
                              <w:color w:val="000000"/>
                              <w:kern w:val="0"/>
                              <w:sz w:val="18"/>
                              <w:szCs w:val="21"/>
                            </w:rPr>
                            <w:instrText xml:space="preserve"> PAGE  \* MERGEFORMAT </w:instrText>
                          </w:r>
                          <w:r>
                            <w:rPr>
                              <w:rFonts w:ascii="Arial" w:hAnsi="Arial" w:eastAsia="Arial" w:cs="Arial"/>
                              <w:snapToGrid w:val="0"/>
                              <w:color w:val="000000"/>
                              <w:kern w:val="0"/>
                              <w:sz w:val="18"/>
                              <w:szCs w:val="21"/>
                            </w:rPr>
                            <w:fldChar w:fldCharType="separate"/>
                          </w:r>
                          <w:r>
                            <w:rPr>
                              <w:rFonts w:ascii="Arial" w:hAnsi="Arial" w:eastAsia="Arial" w:cs="Arial"/>
                              <w:snapToGrid w:val="0"/>
                              <w:color w:val="000000"/>
                              <w:kern w:val="0"/>
                              <w:sz w:val="18"/>
                              <w:szCs w:val="21"/>
                            </w:rPr>
                            <w:t>42</w:t>
                          </w:r>
                          <w:r>
                            <w:rPr>
                              <w:rFonts w:ascii="Arial" w:hAnsi="Arial" w:eastAsia="Arial" w:cs="Arial"/>
                              <w:snapToGrid w:val="0"/>
                              <w:color w:val="000000"/>
                              <w:kern w:val="0"/>
                              <w:sz w:val="18"/>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14:paraId="50FE56BE">
                    <w:pPr>
                      <w:tabs>
                        <w:tab w:val="center" w:pos="4153"/>
                        <w:tab w:val="right" w:pos="8306"/>
                      </w:tabs>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18"/>
                        <w:szCs w:val="21"/>
                      </w:rPr>
                    </w:pPr>
                    <w:r>
                      <w:rPr>
                        <w:rFonts w:ascii="Arial" w:hAnsi="Arial" w:eastAsia="Arial" w:cs="Arial"/>
                        <w:snapToGrid w:val="0"/>
                        <w:color w:val="000000"/>
                        <w:kern w:val="0"/>
                        <w:sz w:val="18"/>
                        <w:szCs w:val="21"/>
                      </w:rPr>
                      <w:fldChar w:fldCharType="begin"/>
                    </w:r>
                    <w:r>
                      <w:rPr>
                        <w:rFonts w:ascii="Arial" w:hAnsi="Arial" w:eastAsia="Arial" w:cs="Arial"/>
                        <w:snapToGrid w:val="0"/>
                        <w:color w:val="000000"/>
                        <w:kern w:val="0"/>
                        <w:sz w:val="18"/>
                        <w:szCs w:val="21"/>
                      </w:rPr>
                      <w:instrText xml:space="preserve"> PAGE  \* MERGEFORMAT </w:instrText>
                    </w:r>
                    <w:r>
                      <w:rPr>
                        <w:rFonts w:ascii="Arial" w:hAnsi="Arial" w:eastAsia="Arial" w:cs="Arial"/>
                        <w:snapToGrid w:val="0"/>
                        <w:color w:val="000000"/>
                        <w:kern w:val="0"/>
                        <w:sz w:val="18"/>
                        <w:szCs w:val="21"/>
                      </w:rPr>
                      <w:fldChar w:fldCharType="separate"/>
                    </w:r>
                    <w:r>
                      <w:rPr>
                        <w:rFonts w:ascii="Arial" w:hAnsi="Arial" w:eastAsia="Arial" w:cs="Arial"/>
                        <w:snapToGrid w:val="0"/>
                        <w:color w:val="000000"/>
                        <w:kern w:val="0"/>
                        <w:sz w:val="18"/>
                        <w:szCs w:val="21"/>
                      </w:rPr>
                      <w:t>42</w:t>
                    </w:r>
                    <w:r>
                      <w:rPr>
                        <w:rFonts w:ascii="Arial" w:hAnsi="Arial" w:eastAsia="Arial" w:cs="Arial"/>
                        <w:snapToGrid w:val="0"/>
                        <w:color w:val="000000"/>
                        <w:kern w:val="0"/>
                        <w:sz w:val="18"/>
                        <w:szCs w:val="21"/>
                      </w:rPr>
                      <w:fldChar w:fldCharType="end"/>
                    </w:r>
                  </w:p>
                </w:txbxContent>
              </v:textbox>
            </v:shape>
          </w:pict>
        </mc:Fallback>
      </mc:AlternateContent>
    </w:r>
    <w:r>
      <w:rPr>
        <w:rFonts w:hint="eastAsia" w:ascii="Arial" w:hAnsi="Arial" w:eastAsia="Arial" w:cs="Arial"/>
        <w:snapToGrid w:val="0"/>
        <w:color w:val="000000"/>
        <w:kern w:val="0"/>
        <w:sz w:val="18"/>
        <w:szCs w:val="21"/>
      </w:rPr>
      <w:t xml:space="preserve">江西赣安安全生产科学技术咨询服务中心                        </w:t>
    </w:r>
    <w:r>
      <w:rPr>
        <w:rFonts w:hint="eastAsia" w:ascii="Arial" w:hAnsi="Arial" w:eastAsia="宋体" w:cs="Arial"/>
        <w:snapToGrid w:val="0"/>
        <w:color w:val="000000"/>
        <w:kern w:val="0"/>
        <w:sz w:val="18"/>
        <w:szCs w:val="21"/>
        <w:lang w:val="en-US" w:eastAsia="zh-CN"/>
      </w:rPr>
      <w:t xml:space="preserve">    </w:t>
    </w:r>
    <w:r>
      <w:rPr>
        <w:rFonts w:hint="eastAsia" w:ascii="宋体" w:hAnsi="宋体" w:eastAsia="宋体" w:cs="宋体"/>
        <w:snapToGrid w:val="0"/>
        <w:color w:val="000000"/>
        <w:kern w:val="0"/>
        <w:sz w:val="18"/>
        <w:szCs w:val="21"/>
        <w:lang w:val="en-US" w:eastAsia="zh-CN"/>
      </w:rPr>
      <w:t xml:space="preserve">  </w:t>
    </w:r>
    <w:r>
      <w:rPr>
        <w:rFonts w:hint="eastAsia" w:ascii="宋体" w:hAnsi="宋体" w:eastAsia="宋体" w:cs="宋体"/>
        <w:snapToGrid w:val="0"/>
        <w:color w:val="000000"/>
        <w:kern w:val="0"/>
        <w:sz w:val="18"/>
        <w:szCs w:val="21"/>
      </w:rPr>
      <w:t xml:space="preserve"> </w:t>
    </w:r>
    <w:r>
      <w:rPr>
        <w:rFonts w:hint="eastAsia" w:ascii="宋体" w:hAnsi="宋体" w:eastAsia="宋体" w:cs="宋体"/>
        <w:snapToGrid w:val="0"/>
        <w:color w:val="000000"/>
        <w:kern w:val="0"/>
        <w:sz w:val="18"/>
        <w:szCs w:val="21"/>
        <w:lang w:val="en-US" w:eastAsia="zh-CN"/>
      </w:rPr>
      <w:t xml:space="preserve"> </w:t>
    </w:r>
    <w:r>
      <w:rPr>
        <w:rFonts w:hint="eastAsia" w:ascii="宋体" w:hAnsi="宋体" w:eastAsia="宋体" w:cs="宋体"/>
        <w:snapToGrid w:val="0"/>
        <w:color w:val="000000"/>
        <w:kern w:val="0"/>
        <w:sz w:val="18"/>
        <w:szCs w:val="21"/>
      </w:rPr>
      <w:t xml:space="preserve"> </w:t>
    </w:r>
    <w:r>
      <w:rPr>
        <w:rFonts w:hint="eastAsia" w:ascii="Arial" w:hAnsi="Arial" w:eastAsia="Arial" w:cs="Arial"/>
        <w:snapToGrid w:val="0"/>
        <w:color w:val="000000"/>
        <w:kern w:val="0"/>
        <w:sz w:val="18"/>
        <w:szCs w:val="21"/>
      </w:rPr>
      <w:t xml:space="preserve">                       </w:t>
    </w:r>
    <w:r>
      <w:rPr>
        <w:rFonts w:hint="eastAsia" w:ascii="Arial" w:hAnsi="Arial" w:eastAsia="宋体" w:cs="Arial"/>
        <w:snapToGrid w:val="0"/>
        <w:color w:val="000000"/>
        <w:kern w:val="0"/>
        <w:sz w:val="18"/>
        <w:szCs w:val="21"/>
        <w:lang w:val="en-US" w:eastAsia="zh-CN"/>
      </w:rPr>
      <w:t xml:space="preserve">                     </w:t>
    </w:r>
    <w:r>
      <w:rPr>
        <w:rFonts w:hint="eastAsia" w:ascii="Arial" w:hAnsi="Arial" w:eastAsia="Arial" w:cs="Arial"/>
        <w:snapToGrid w:val="0"/>
        <w:color w:val="000000"/>
        <w:kern w:val="0"/>
        <w:sz w:val="18"/>
        <w:szCs w:val="21"/>
      </w:rPr>
      <w:t>APJ-（赣）-002</w:t>
    </w:r>
  </w:p>
  <w:p w14:paraId="6DAEFE5C">
    <w:pPr>
      <w:tabs>
        <w:tab w:val="center" w:pos="4153"/>
        <w:tab w:val="right" w:pos="8306"/>
      </w:tabs>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18"/>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2A08B">
    <w:pPr>
      <w:pStyle w:val="11"/>
      <w:pBdr>
        <w:top w:val="single" w:color="auto" w:sz="4" w:space="0"/>
      </w:pBdr>
      <w:ind w:left="0" w:leftChars="0" w:firstLine="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8DEA93">
                          <w:pPr>
                            <w:pStyle w:val="11"/>
                          </w:pPr>
                          <w:r>
                            <w:fldChar w:fldCharType="begin"/>
                          </w:r>
                          <w:r>
                            <w:instrText xml:space="preserve"> PAGE  \* MERGEFORMAT </w:instrText>
                          </w:r>
                          <w:r>
                            <w:fldChar w:fldCharType="separate"/>
                          </w:r>
                          <w:r>
                            <w:t>VII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468DEA93">
                    <w:pPr>
                      <w:pStyle w:val="11"/>
                    </w:pPr>
                    <w:r>
                      <w:fldChar w:fldCharType="begin"/>
                    </w:r>
                    <w:r>
                      <w:instrText xml:space="preserve"> PAGE  \* MERGEFORMAT </w:instrText>
                    </w:r>
                    <w:r>
                      <w:fldChar w:fldCharType="separate"/>
                    </w:r>
                    <w:r>
                      <w:t>VII</w:t>
                    </w:r>
                    <w:r>
                      <w:fldChar w:fldCharType="end"/>
                    </w:r>
                  </w:p>
                </w:txbxContent>
              </v:textbox>
            </v:shape>
          </w:pict>
        </mc:Fallback>
      </mc:AlternateContent>
    </w:r>
    <w:r>
      <w:rPr>
        <w:rFonts w:hint="eastAsia"/>
      </w:rPr>
      <w:t>江西赣安安全生产科学技术咨询服务中心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E3EFC8">
    <w:pPr>
      <w:pStyle w:val="12"/>
      <w:pBdr>
        <w:bottom w:val="single" w:color="auto" w:sz="4" w:space="1"/>
      </w:pBdr>
      <w:ind w:left="0" w:leftChars="0" w:firstLine="0" w:firstLineChars="0"/>
      <w:rPr>
        <w:rFonts w:hint="default" w:eastAsia="宋体"/>
        <w:lang w:val="en-US" w:eastAsia="zh-CN"/>
      </w:rPr>
    </w:pPr>
    <w:r>
      <w:rPr>
        <w:rFonts w:hint="eastAsia"/>
        <w:lang w:val="en-US" w:eastAsia="zh-CN"/>
      </w:rPr>
      <w:t>江西临川鲁金矿业有限公司茅排金矿庄前尾矿库安全现状评价报告                        GAAP〔2024〕0366号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61084A"/>
    <w:multiLevelType w:val="singleLevel"/>
    <w:tmpl w:val="B561084A"/>
    <w:lvl w:ilvl="0" w:tentative="0">
      <w:start w:val="1"/>
      <w:numFmt w:val="decimal"/>
      <w:lvlText w:val="%1."/>
      <w:lvlJc w:val="left"/>
      <w:pPr>
        <w:tabs>
          <w:tab w:val="left" w:pos="312"/>
        </w:tabs>
      </w:pPr>
    </w:lvl>
  </w:abstractNum>
  <w:abstractNum w:abstractNumId="1">
    <w:nsid w:val="08B71541"/>
    <w:multiLevelType w:val="singleLevel"/>
    <w:tmpl w:val="08B71541"/>
    <w:lvl w:ilvl="0" w:tentative="0">
      <w:start w:val="9"/>
      <w:numFmt w:val="decimal"/>
      <w:lvlText w:val="%1."/>
      <w:lvlJc w:val="left"/>
      <w:pPr>
        <w:tabs>
          <w:tab w:val="left" w:pos="312"/>
        </w:tabs>
      </w:pPr>
    </w:lvl>
  </w:abstractNum>
  <w:abstractNum w:abstractNumId="2">
    <w:nsid w:val="11017E05"/>
    <w:multiLevelType w:val="singleLevel"/>
    <w:tmpl w:val="11017E05"/>
    <w:lvl w:ilvl="0" w:tentative="0">
      <w:start w:val="1"/>
      <w:numFmt w:val="decimal"/>
      <w:lvlText w:val="%1."/>
      <w:lvlJc w:val="left"/>
      <w:pPr>
        <w:tabs>
          <w:tab w:val="left" w:pos="312"/>
        </w:tabs>
      </w:pPr>
    </w:lvl>
  </w:abstractNum>
  <w:abstractNum w:abstractNumId="3">
    <w:nsid w:val="151C751B"/>
    <w:multiLevelType w:val="multilevel"/>
    <w:tmpl w:val="151C751B"/>
    <w:lvl w:ilvl="0" w:tentative="0">
      <w:start w:val="1"/>
      <w:numFmt w:val="decimal"/>
      <w:suff w:val="nothing"/>
      <w:lvlText w:val="%1  "/>
      <w:lvlJc w:val="left"/>
      <w:pPr>
        <w:ind w:left="2694" w:firstLine="0"/>
      </w:pPr>
      <w:rPr>
        <w:rFonts w:hint="eastAsia"/>
      </w:rPr>
    </w:lvl>
    <w:lvl w:ilvl="1" w:tentative="0">
      <w:start w:val="1"/>
      <w:numFmt w:val="decimal"/>
      <w:suff w:val="nothing"/>
      <w:lvlText w:val="%1.%2  "/>
      <w:lvlJc w:val="left"/>
      <w:pPr>
        <w:ind w:left="0" w:firstLine="0"/>
      </w:pPr>
      <w:rPr>
        <w:rFonts w:hint="eastAsia"/>
      </w:rPr>
    </w:lvl>
    <w:lvl w:ilvl="2" w:tentative="0">
      <w:start w:val="1"/>
      <w:numFmt w:val="decimal"/>
      <w:suff w:val="nothing"/>
      <w:lvlText w:val="%1.%2.%3  "/>
      <w:lvlJc w:val="left"/>
      <w:pPr>
        <w:ind w:left="0" w:firstLine="0"/>
      </w:pPr>
      <w:rPr>
        <w:rFonts w:hint="eastAsia"/>
      </w:rPr>
    </w:lvl>
    <w:lvl w:ilvl="3" w:tentative="0">
      <w:start w:val="1"/>
      <w:numFmt w:val="decimal"/>
      <w:suff w:val="nothing"/>
      <w:lvlText w:val="%1.%2.%3.%4 "/>
      <w:lvlJc w:val="left"/>
      <w:pPr>
        <w:ind w:left="0" w:firstLine="0"/>
      </w:pPr>
      <w:rPr>
        <w:rFonts w:hint="eastAsia"/>
      </w:rPr>
    </w:lvl>
    <w:lvl w:ilvl="4" w:tentative="0">
      <w:start w:val="1"/>
      <w:numFmt w:val="decimal"/>
      <w:lvlRestart w:val="1"/>
      <w:suff w:val="nothing"/>
      <w:lvlText w:val="表%1-%5  "/>
      <w:lvlJc w:val="left"/>
      <w:pPr>
        <w:ind w:left="0" w:firstLine="0"/>
      </w:pPr>
      <w:rPr>
        <w:rFonts w:hint="eastAsia"/>
      </w:rPr>
    </w:lvl>
    <w:lvl w:ilvl="5" w:tentative="0">
      <w:start w:val="1"/>
      <w:numFmt w:val="decimal"/>
      <w:lvlRestart w:val="1"/>
      <w:suff w:val="nothing"/>
      <w:lvlText w:val="图%1-%6  "/>
      <w:lvlJc w:val="left"/>
      <w:pPr>
        <w:ind w:left="3261"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4">
    <w:nsid w:val="43F9F200"/>
    <w:multiLevelType w:val="singleLevel"/>
    <w:tmpl w:val="43F9F200"/>
    <w:lvl w:ilvl="0" w:tentative="0">
      <w:start w:val="1"/>
      <w:numFmt w:val="decimal"/>
      <w:lvlText w:val="%1."/>
      <w:lvlJc w:val="left"/>
      <w:pPr>
        <w:tabs>
          <w:tab w:val="left" w:pos="312"/>
        </w:tabs>
      </w:pPr>
    </w:lvl>
  </w:abstractNum>
  <w:num w:numId="1">
    <w:abstractNumId w:val="3"/>
    <w:lvlOverride w:ilvl="0">
      <w:lvl w:ilvl="0" w:tentative="1">
        <w:start w:val="1"/>
        <w:numFmt w:val="decimal"/>
        <w:suff w:val="nothing"/>
        <w:lvlText w:val="%1  "/>
        <w:lvlJc w:val="left"/>
        <w:pPr>
          <w:ind w:left="2694" w:firstLine="0"/>
        </w:pPr>
        <w:rPr>
          <w:rFonts w:hint="eastAsia"/>
        </w:rPr>
      </w:lvl>
    </w:lvlOverride>
    <w:lvlOverride w:ilvl="1">
      <w:lvl w:ilvl="1" w:tentative="1">
        <w:start w:val="1"/>
        <w:numFmt w:val="decimal"/>
        <w:suff w:val="nothing"/>
        <w:lvlText w:val="%1.%2  "/>
        <w:lvlJc w:val="left"/>
        <w:pPr>
          <w:ind w:left="0" w:firstLine="0"/>
        </w:pPr>
        <w:rPr>
          <w:rFonts w:hint="eastAsia"/>
        </w:rPr>
      </w:lvl>
    </w:lvlOverride>
    <w:lvlOverride w:ilvl="2">
      <w:lvl w:ilvl="2" w:tentative="1">
        <w:start w:val="1"/>
        <w:numFmt w:val="decimal"/>
        <w:suff w:val="nothing"/>
        <w:lvlText w:val="%1.%2.%3  "/>
        <w:lvlJc w:val="left"/>
        <w:pPr>
          <w:ind w:left="0" w:firstLine="0"/>
        </w:pPr>
        <w:rPr>
          <w:rFonts w:hint="eastAsia"/>
        </w:rPr>
      </w:lvl>
    </w:lvlOverride>
    <w:lvlOverride w:ilvl="3">
      <w:lvl w:ilvl="3" w:tentative="1">
        <w:start w:val="1"/>
        <w:numFmt w:val="decimal"/>
        <w:suff w:val="nothing"/>
        <w:lvlText w:val="%1.%2.%3.%4 "/>
        <w:lvlJc w:val="left"/>
        <w:pPr>
          <w:ind w:left="0" w:firstLine="0"/>
        </w:pPr>
        <w:rPr>
          <w:rFonts w:hint="eastAsia"/>
        </w:rPr>
      </w:lvl>
    </w:lvlOverride>
    <w:lvlOverride w:ilvl="4">
      <w:lvl w:ilvl="4" w:tentative="1">
        <w:start w:val="1"/>
        <w:numFmt w:val="decimal"/>
        <w:lvlRestart w:val="1"/>
        <w:pStyle w:val="26"/>
        <w:suff w:val="nothing"/>
        <w:lvlText w:val="表%1-%5  "/>
        <w:lvlJc w:val="left"/>
        <w:pPr>
          <w:ind w:left="0" w:firstLine="0"/>
        </w:pPr>
        <w:rPr>
          <w:rFonts w:hint="eastAsia"/>
        </w:rPr>
      </w:lvl>
    </w:lvlOverride>
    <w:lvlOverride w:ilvl="5">
      <w:lvl w:ilvl="5" w:tentative="1">
        <w:start w:val="1"/>
        <w:numFmt w:val="decimal"/>
        <w:lvlRestart w:val="1"/>
        <w:pStyle w:val="25"/>
        <w:suff w:val="nothing"/>
        <w:lvlText w:val="图%1-%6  "/>
        <w:lvlJc w:val="left"/>
        <w:pPr>
          <w:ind w:left="2978" w:firstLine="0"/>
        </w:pPr>
        <w:rPr>
          <w:rFonts w:hint="eastAsia"/>
        </w:rPr>
      </w:lvl>
    </w:lvlOverride>
    <w:lvlOverride w:ilvl="6">
      <w:lvl w:ilvl="6" w:tentative="1">
        <w:start w:val="1"/>
        <w:numFmt w:val="decimal"/>
        <w:lvlText w:val="%1.%2.%3.%4.%5.%6.%7"/>
        <w:lvlJc w:val="left"/>
        <w:pPr>
          <w:ind w:left="0" w:firstLine="0"/>
        </w:pPr>
        <w:rPr>
          <w:rFonts w:hint="eastAsia"/>
        </w:rPr>
      </w:lvl>
    </w:lvlOverride>
    <w:lvlOverride w:ilvl="7">
      <w:lvl w:ilvl="7" w:tentative="1">
        <w:start w:val="1"/>
        <w:numFmt w:val="decimal"/>
        <w:lvlText w:val="%1.%2.%3.%4.%5.%6.%7.%8"/>
        <w:lvlJc w:val="left"/>
        <w:pPr>
          <w:ind w:left="0" w:firstLine="0"/>
        </w:pPr>
        <w:rPr>
          <w:rFonts w:hint="eastAsia"/>
        </w:rPr>
      </w:lvl>
    </w:lvlOverride>
    <w:lvlOverride w:ilvl="8">
      <w:lvl w:ilvl="8" w:tentative="1">
        <w:start w:val="1"/>
        <w:numFmt w:val="decimal"/>
        <w:lvlText w:val="%1.%2.%3.%4.%5.%6.%7.%8.%9"/>
        <w:lvlJc w:val="left"/>
        <w:pPr>
          <w:ind w:left="0" w:firstLine="0"/>
        </w:pPr>
        <w:rPr>
          <w:rFonts w:hint="eastAsia"/>
        </w:rPr>
      </w:lvl>
    </w:lvlOverride>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yNWIwOWY1Y2ZhYmZkYWRiM2YzZmM1MzVjY2Q5Y2EifQ=="/>
  </w:docVars>
  <w:rsids>
    <w:rsidRoot w:val="52C501C7"/>
    <w:rsid w:val="018B148D"/>
    <w:rsid w:val="03071597"/>
    <w:rsid w:val="054B35C3"/>
    <w:rsid w:val="05A47918"/>
    <w:rsid w:val="06214959"/>
    <w:rsid w:val="067306B5"/>
    <w:rsid w:val="08C341E5"/>
    <w:rsid w:val="090338AE"/>
    <w:rsid w:val="096D6F77"/>
    <w:rsid w:val="0A412E0C"/>
    <w:rsid w:val="0A466107"/>
    <w:rsid w:val="0AEB66AF"/>
    <w:rsid w:val="0B8C6C15"/>
    <w:rsid w:val="0BC33EB3"/>
    <w:rsid w:val="0C476893"/>
    <w:rsid w:val="0DD3048C"/>
    <w:rsid w:val="0E280947"/>
    <w:rsid w:val="0EFD4A93"/>
    <w:rsid w:val="10F93CE7"/>
    <w:rsid w:val="112B1C9D"/>
    <w:rsid w:val="12B97DBE"/>
    <w:rsid w:val="13696FD3"/>
    <w:rsid w:val="144A75CD"/>
    <w:rsid w:val="14AF1AFB"/>
    <w:rsid w:val="16741527"/>
    <w:rsid w:val="17AC1CA0"/>
    <w:rsid w:val="188D1AD1"/>
    <w:rsid w:val="1986206E"/>
    <w:rsid w:val="19ED66F3"/>
    <w:rsid w:val="1C6E0228"/>
    <w:rsid w:val="1DD27F86"/>
    <w:rsid w:val="1E8C75CE"/>
    <w:rsid w:val="20C5437D"/>
    <w:rsid w:val="233B65CE"/>
    <w:rsid w:val="235017A7"/>
    <w:rsid w:val="249307E0"/>
    <w:rsid w:val="24B358BF"/>
    <w:rsid w:val="262A77EE"/>
    <w:rsid w:val="266D2F42"/>
    <w:rsid w:val="27197657"/>
    <w:rsid w:val="27624CA6"/>
    <w:rsid w:val="278504E5"/>
    <w:rsid w:val="29D369D8"/>
    <w:rsid w:val="2B1C1A99"/>
    <w:rsid w:val="2BBA6A54"/>
    <w:rsid w:val="2DA52FC1"/>
    <w:rsid w:val="2E8763D0"/>
    <w:rsid w:val="2EA17F48"/>
    <w:rsid w:val="305435EB"/>
    <w:rsid w:val="31350B00"/>
    <w:rsid w:val="328A2A15"/>
    <w:rsid w:val="32F75029"/>
    <w:rsid w:val="34A264AC"/>
    <w:rsid w:val="355B0CAB"/>
    <w:rsid w:val="366B406D"/>
    <w:rsid w:val="36711F30"/>
    <w:rsid w:val="37AD63F2"/>
    <w:rsid w:val="380C5870"/>
    <w:rsid w:val="38163439"/>
    <w:rsid w:val="386102C7"/>
    <w:rsid w:val="39C25D40"/>
    <w:rsid w:val="3B842468"/>
    <w:rsid w:val="3BA50630"/>
    <w:rsid w:val="3F1C11FD"/>
    <w:rsid w:val="3FD944FD"/>
    <w:rsid w:val="401E7CAB"/>
    <w:rsid w:val="40A610D2"/>
    <w:rsid w:val="44F52860"/>
    <w:rsid w:val="457E261E"/>
    <w:rsid w:val="469C5366"/>
    <w:rsid w:val="46A74C80"/>
    <w:rsid w:val="487A1797"/>
    <w:rsid w:val="493E459E"/>
    <w:rsid w:val="49667651"/>
    <w:rsid w:val="49F77699"/>
    <w:rsid w:val="4A8A40DF"/>
    <w:rsid w:val="4BB454AB"/>
    <w:rsid w:val="4BF52F0E"/>
    <w:rsid w:val="4C2201F2"/>
    <w:rsid w:val="505226DD"/>
    <w:rsid w:val="51987CEC"/>
    <w:rsid w:val="51C51982"/>
    <w:rsid w:val="52C501C7"/>
    <w:rsid w:val="530C05E7"/>
    <w:rsid w:val="54541160"/>
    <w:rsid w:val="54C63BF2"/>
    <w:rsid w:val="54E016AD"/>
    <w:rsid w:val="54F41FB5"/>
    <w:rsid w:val="55F3226C"/>
    <w:rsid w:val="56B31C4E"/>
    <w:rsid w:val="586C6306"/>
    <w:rsid w:val="59201C0D"/>
    <w:rsid w:val="5A533667"/>
    <w:rsid w:val="5A7C097F"/>
    <w:rsid w:val="5C185A33"/>
    <w:rsid w:val="5D744B4B"/>
    <w:rsid w:val="5FEF619A"/>
    <w:rsid w:val="606F256E"/>
    <w:rsid w:val="61655C84"/>
    <w:rsid w:val="63092DF7"/>
    <w:rsid w:val="6323798A"/>
    <w:rsid w:val="639942D1"/>
    <w:rsid w:val="6518584B"/>
    <w:rsid w:val="65691A08"/>
    <w:rsid w:val="65895856"/>
    <w:rsid w:val="66714ED6"/>
    <w:rsid w:val="686C1694"/>
    <w:rsid w:val="6A18009C"/>
    <w:rsid w:val="6AC63F9C"/>
    <w:rsid w:val="6B4F5D3F"/>
    <w:rsid w:val="6C345928"/>
    <w:rsid w:val="6C39551B"/>
    <w:rsid w:val="6FDD7DBD"/>
    <w:rsid w:val="70AA07A0"/>
    <w:rsid w:val="71ED7C26"/>
    <w:rsid w:val="72607D8C"/>
    <w:rsid w:val="73375AF7"/>
    <w:rsid w:val="73417AE1"/>
    <w:rsid w:val="754511A8"/>
    <w:rsid w:val="76231079"/>
    <w:rsid w:val="77842FA5"/>
    <w:rsid w:val="77DB72D8"/>
    <w:rsid w:val="7AFD6CDB"/>
    <w:rsid w:val="7B1F03EE"/>
    <w:rsid w:val="7C352D2F"/>
    <w:rsid w:val="7CCD687F"/>
    <w:rsid w:val="7CFE1373"/>
    <w:rsid w:val="7DCB6503"/>
    <w:rsid w:val="7DFD162B"/>
    <w:rsid w:val="7E2A2A0B"/>
    <w:rsid w:val="7FC219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883" w:firstLineChars="200"/>
      <w:jc w:val="both"/>
    </w:pPr>
    <w:rPr>
      <w:rFonts w:eastAsia="宋体" w:asciiTheme="minorAscii" w:hAnsiTheme="minorAscii" w:cstheme="minorBidi"/>
      <w:kern w:val="2"/>
      <w:sz w:val="28"/>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ind w:firstLine="0" w:firstLineChars="0"/>
      <w:jc w:val="center"/>
      <w:outlineLvl w:val="0"/>
    </w:pPr>
    <w:rPr>
      <w:rFonts w:ascii="Times New Roman" w:hAnsi="Times New Roman" w:eastAsia="宋体"/>
      <w:b/>
      <w:kern w:val="44"/>
      <w:sz w:val="32"/>
    </w:rPr>
  </w:style>
  <w:style w:type="paragraph" w:styleId="4">
    <w:name w:val="heading 2"/>
    <w:basedOn w:val="3"/>
    <w:next w:val="1"/>
    <w:qFormat/>
    <w:uiPriority w:val="0"/>
    <w:pPr>
      <w:keepNext/>
      <w:keepLines/>
      <w:widowControl w:val="0"/>
      <w:spacing w:beforeAutospacing="0" w:afterAutospacing="0" w:line="360" w:lineRule="auto"/>
      <w:ind w:left="100" w:leftChars="100" w:firstLine="0" w:firstLineChars="0"/>
      <w:outlineLvl w:val="1"/>
    </w:pPr>
    <w:rPr>
      <w:rFonts w:ascii="Times New Roman" w:hAnsi="Times New Roman"/>
      <w:sz w:val="30"/>
    </w:rPr>
  </w:style>
  <w:style w:type="paragraph" w:styleId="5">
    <w:name w:val="heading 3"/>
    <w:basedOn w:val="1"/>
    <w:next w:val="1"/>
    <w:link w:val="23"/>
    <w:qFormat/>
    <w:uiPriority w:val="0"/>
    <w:pPr>
      <w:keepNext/>
      <w:keepLines/>
      <w:widowControl w:val="0"/>
      <w:spacing w:beforeAutospacing="0" w:afterAutospacing="0" w:line="240" w:lineRule="auto"/>
      <w:ind w:left="200" w:leftChars="200" w:firstLine="0" w:firstLineChars="0"/>
      <w:outlineLvl w:val="2"/>
    </w:pPr>
    <w:rPr>
      <w:rFonts w:ascii="Times New Roman" w:hAnsi="Times New Roman" w:eastAsia="黑体"/>
      <w:b/>
      <w:sz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customStyle="1" w:styleId="2">
    <w:name w:val="样式 宋体 小四 行距: 22 磅"/>
    <w:basedOn w:val="1"/>
    <w:qFormat/>
    <w:uiPriority w:val="0"/>
    <w:rPr>
      <w:rFonts w:ascii="宋体" w:hAnsi="宋体" w:cs="宋体"/>
      <w:szCs w:val="20"/>
    </w:rPr>
  </w:style>
  <w:style w:type="paragraph" w:styleId="6">
    <w:name w:val="annotation text"/>
    <w:basedOn w:val="1"/>
    <w:qFormat/>
    <w:uiPriority w:val="0"/>
    <w:pPr>
      <w:jc w:val="left"/>
    </w:pPr>
  </w:style>
  <w:style w:type="paragraph" w:styleId="7">
    <w:name w:val="Body Text"/>
    <w:basedOn w:val="1"/>
    <w:qFormat/>
    <w:uiPriority w:val="0"/>
    <w:pPr>
      <w:spacing w:after="120"/>
    </w:pPr>
  </w:style>
  <w:style w:type="paragraph" w:styleId="8">
    <w:name w:val="Body Text Indent"/>
    <w:basedOn w:val="1"/>
    <w:qFormat/>
    <w:uiPriority w:val="0"/>
    <w:pPr>
      <w:ind w:firstLine="640" w:firstLineChars="200"/>
      <w:jc w:val="left"/>
    </w:pPr>
    <w:rPr>
      <w:rFonts w:ascii="仿宋_GB2312" w:eastAsia="仿宋_GB2312"/>
      <w:sz w:val="32"/>
      <w:szCs w:val="32"/>
    </w:rPr>
  </w:style>
  <w:style w:type="paragraph" w:styleId="9">
    <w:name w:val="toc 3"/>
    <w:basedOn w:val="1"/>
    <w:next w:val="1"/>
    <w:qFormat/>
    <w:uiPriority w:val="0"/>
    <w:pPr>
      <w:ind w:left="840" w:leftChars="400"/>
    </w:pPr>
  </w:style>
  <w:style w:type="paragraph" w:styleId="10">
    <w:name w:val="Body Text Indent 2"/>
    <w:basedOn w:val="1"/>
    <w:qFormat/>
    <w:uiPriority w:val="0"/>
    <w:pPr>
      <w:ind w:firstLine="600" w:firstLineChars="200"/>
      <w:jc w:val="left"/>
    </w:pPr>
    <w:rPr>
      <w:rFonts w:ascii="宋体" w:hAnsi="宋体"/>
      <w:sz w:val="30"/>
      <w:szCs w:val="32"/>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0"/>
    <w:pPr>
      <w:ind w:firstLine="0" w:firstLineChars="0"/>
    </w:pPr>
  </w:style>
  <w:style w:type="paragraph" w:styleId="14">
    <w:name w:val="toc 2"/>
    <w:basedOn w:val="1"/>
    <w:next w:val="1"/>
    <w:qFormat/>
    <w:uiPriority w:val="0"/>
    <w:pPr>
      <w:ind w:left="420" w:leftChars="200"/>
    </w:pPr>
  </w:style>
  <w:style w:type="paragraph" w:styleId="15">
    <w:name w:val="Normal (Web)"/>
    <w:basedOn w:val="1"/>
    <w:qFormat/>
    <w:uiPriority w:val="0"/>
    <w:pPr>
      <w:widowControl/>
      <w:spacing w:before="100" w:beforeAutospacing="1" w:after="100" w:afterAutospacing="1"/>
      <w:jc w:val="left"/>
    </w:pPr>
    <w:rPr>
      <w:rFonts w:ascii="宋体" w:hAnsi="Times New Roman" w:eastAsia="宋体" w:cs="宋体"/>
      <w:kern w:val="0"/>
      <w:sz w:val="24"/>
      <w:szCs w:val="24"/>
      <w:lang w:val="en-US" w:eastAsia="zh-CN" w:bidi="ar-SA"/>
    </w:rPr>
  </w:style>
  <w:style w:type="paragraph" w:styleId="16">
    <w:name w:val="Body Text First Indent 2"/>
    <w:basedOn w:val="8"/>
    <w:qFormat/>
    <w:uiPriority w:val="0"/>
    <w:pPr>
      <w:ind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表格文字2"/>
    <w:basedOn w:val="1"/>
    <w:qFormat/>
    <w:uiPriority w:val="0"/>
    <w:pPr>
      <w:ind w:firstLine="0" w:firstLineChars="0"/>
      <w:jc w:val="center"/>
    </w:pPr>
    <w:rPr>
      <w:rFonts w:ascii="Times New Roman" w:hAnsi="Times New Roman"/>
      <w:b/>
      <w:bCs/>
      <w:sz w:val="21"/>
      <w:szCs w:val="21"/>
    </w:rPr>
  </w:style>
  <w:style w:type="paragraph" w:customStyle="1" w:styleId="22">
    <w:name w:val="表格文字1"/>
    <w:basedOn w:val="1"/>
    <w:autoRedefine/>
    <w:qFormat/>
    <w:uiPriority w:val="0"/>
    <w:pPr>
      <w:adjustRightInd/>
      <w:snapToGrid/>
      <w:spacing w:line="240" w:lineRule="exact"/>
      <w:ind w:firstLine="0" w:firstLineChars="0"/>
      <w:jc w:val="center"/>
    </w:pPr>
    <w:rPr>
      <w:color w:val="auto"/>
      <w:sz w:val="21"/>
      <w:szCs w:val="22"/>
    </w:rPr>
  </w:style>
  <w:style w:type="character" w:customStyle="1" w:styleId="23">
    <w:name w:val="标题 3 Char"/>
    <w:link w:val="5"/>
    <w:qFormat/>
    <w:uiPriority w:val="0"/>
    <w:rPr>
      <w:rFonts w:ascii="Times New Roman" w:hAnsi="Times New Roman" w:eastAsia="黑体"/>
      <w:b/>
      <w:sz w:val="28"/>
    </w:rPr>
  </w:style>
  <w:style w:type="paragraph" w:customStyle="1" w:styleId="24">
    <w:name w:val="标正"/>
    <w:basedOn w:val="1"/>
    <w:qFormat/>
    <w:uiPriority w:val="0"/>
    <w:pPr>
      <w:spacing w:line="480" w:lineRule="exact"/>
      <w:ind w:firstLine="560" w:firstLineChars="200"/>
      <w:jc w:val="left"/>
    </w:pPr>
    <w:rPr>
      <w:rFonts w:ascii="仿宋_GB2312" w:hAnsi="Times New Roman" w:eastAsia="仿宋_GB2312" w:cs="Times New Roman"/>
      <w:kern w:val="0"/>
      <w:sz w:val="28"/>
      <w:szCs w:val="24"/>
    </w:rPr>
  </w:style>
  <w:style w:type="paragraph" w:customStyle="1" w:styleId="25">
    <w:name w:val="标图名"/>
    <w:basedOn w:val="24"/>
    <w:next w:val="24"/>
    <w:qFormat/>
    <w:uiPriority w:val="0"/>
    <w:pPr>
      <w:numPr>
        <w:ilvl w:val="5"/>
        <w:numId w:val="1"/>
      </w:numPr>
      <w:spacing w:afterLines="50" w:line="240" w:lineRule="auto"/>
      <w:ind w:firstLineChars="0"/>
      <w:jc w:val="center"/>
    </w:pPr>
    <w:rPr>
      <w:rFonts w:eastAsia="宋体"/>
    </w:rPr>
  </w:style>
  <w:style w:type="paragraph" w:customStyle="1" w:styleId="26">
    <w:name w:val="标表名"/>
    <w:basedOn w:val="1"/>
    <w:qFormat/>
    <w:uiPriority w:val="0"/>
    <w:pPr>
      <w:numPr>
        <w:ilvl w:val="4"/>
        <w:numId w:val="1"/>
      </w:numPr>
      <w:wordWrap w:val="0"/>
      <w:spacing w:beforeLines="50" w:line="480" w:lineRule="exact"/>
      <w:jc w:val="center"/>
    </w:pPr>
    <w:rPr>
      <w:rFonts w:eastAsia="宋体" w:cs="Times New Roman" w:asciiTheme="minorEastAsia" w:hAnsiTheme="minorEastAsia"/>
      <w:bCs/>
      <w:sz w:val="28"/>
      <w:szCs w:val="28"/>
      <w:lang w:val="en-GB"/>
    </w:rPr>
  </w:style>
  <w:style w:type="table" w:customStyle="1" w:styleId="2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1.jpeg"/><Relationship Id="rId30" Type="http://schemas.openxmlformats.org/officeDocument/2006/relationships/image" Target="media/image20.png"/><Relationship Id="rId3" Type="http://schemas.openxmlformats.org/officeDocument/2006/relationships/footnotes" Target="footnotes.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81</Pages>
  <Words>10297</Words>
  <Characters>12571</Characters>
  <Lines>0</Lines>
  <Paragraphs>0</Paragraphs>
  <TotalTime>164</TotalTime>
  <ScaleCrop>false</ScaleCrop>
  <LinksUpToDate>false</LinksUpToDate>
  <CharactersWithSpaces>13540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2024-09-06T07:16:00Z</dcterms:created>
  <dc:creator>。</dc:creator>
  <cp:lastModifiedBy>。</cp:lastModifiedBy>
  <dcterms:modified xsi:type="dcterms:W3CDTF">2024-10-29T03:12:57Z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311F17C9A511441C867887BA478C7F87_13</vt:lpwstr>
  </property>
</Properties>
</file>